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86B6" w14:textId="0DA2DAE7" w:rsidR="00577061" w:rsidRPr="001E2C5D" w:rsidRDefault="00AE3D68" w:rsidP="008F44A2">
      <w:pPr>
        <w:spacing w:line="360" w:lineRule="auto"/>
        <w:rPr>
          <w:rFonts w:ascii="Arial" w:hAnsi="Arial" w:cs="Arial"/>
          <w:sz w:val="28"/>
          <w:szCs w:val="28"/>
        </w:rPr>
      </w:pPr>
      <w:r w:rsidRPr="001E2C5D">
        <w:rPr>
          <w:noProof/>
          <w:sz w:val="28"/>
          <w:szCs w:val="28"/>
          <w:lang w:eastAsia="es-CO"/>
        </w:rPr>
        <w:drawing>
          <wp:anchor distT="0" distB="0" distL="114300" distR="114300" simplePos="0" relativeHeight="251658240" behindDoc="0" locked="0" layoutInCell="1" allowOverlap="1" wp14:anchorId="0D715B2B" wp14:editId="06AA946E">
            <wp:simplePos x="0" y="0"/>
            <wp:positionH relativeFrom="margin">
              <wp:align>right</wp:align>
            </wp:positionH>
            <wp:positionV relativeFrom="paragraph">
              <wp:posOffset>-170815</wp:posOffset>
            </wp:positionV>
            <wp:extent cx="723900" cy="8286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061">
        <w:rPr>
          <w:rFonts w:ascii="Arial" w:hAnsi="Arial" w:cs="Arial"/>
          <w:b/>
          <w:sz w:val="28"/>
          <w:szCs w:val="28"/>
        </w:rPr>
        <w:t xml:space="preserve">CARGA ACADEMICA A CUMPLIR DENTRO DEL PERIODO ACADEMICO (TOTAL 180 HORAS) </w:t>
      </w:r>
    </w:p>
    <w:p w14:paraId="60AAFD8D" w14:textId="39057E65" w:rsidR="007B1BDF" w:rsidRPr="00254C33" w:rsidRDefault="00EE4A39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Se deja constancia que é</w:t>
      </w:r>
      <w:r w:rsidR="00FE797E" w:rsidRPr="00254C33">
        <w:rPr>
          <w:rFonts w:ascii="Arial" w:hAnsi="Arial" w:cs="Arial"/>
          <w:lang w:eastAsia="es-CO"/>
        </w:rPr>
        <w:t>l (la) estudiante recibió la inducción de practica respectiva, así mismo que se le hizo una i</w:t>
      </w:r>
      <w:r w:rsidR="00F27C0E" w:rsidRPr="00254C33">
        <w:rPr>
          <w:rFonts w:ascii="Arial" w:hAnsi="Arial" w:cs="Arial"/>
          <w:lang w:eastAsia="es-CO"/>
        </w:rPr>
        <w:t xml:space="preserve">lustración sobre el reglamento </w:t>
      </w:r>
      <w:r w:rsidR="00FE797E" w:rsidRPr="00254C33">
        <w:rPr>
          <w:rFonts w:ascii="Arial" w:hAnsi="Arial" w:cs="Arial"/>
          <w:lang w:eastAsia="es-CO"/>
        </w:rPr>
        <w:t>del Consultorio Jurídico</w:t>
      </w:r>
      <w:r w:rsidR="00202E83" w:rsidRPr="00254C33">
        <w:rPr>
          <w:rFonts w:ascii="Arial" w:hAnsi="Arial" w:cs="Arial"/>
          <w:lang w:eastAsia="es-CO"/>
        </w:rPr>
        <w:t xml:space="preserve"> y Centro de Conciliación</w:t>
      </w:r>
      <w:r w:rsidR="00FE797E" w:rsidRPr="00254C33">
        <w:rPr>
          <w:rFonts w:ascii="Arial" w:hAnsi="Arial" w:cs="Arial"/>
          <w:lang w:eastAsia="es-CO"/>
        </w:rPr>
        <w:t xml:space="preserve">, y se le comunico su obligación de leerlo, teniéndolo a su alcance y su ubicación en la página </w:t>
      </w:r>
      <w:r w:rsidR="008F44A2" w:rsidRPr="00254C33">
        <w:rPr>
          <w:rFonts w:ascii="Arial" w:hAnsi="Arial" w:cs="Arial"/>
          <w:lang w:eastAsia="es-CO"/>
        </w:rPr>
        <w:t>web de</w:t>
      </w:r>
      <w:r w:rsidR="007B1BDF" w:rsidRPr="00254C33">
        <w:rPr>
          <w:rFonts w:ascii="Arial" w:hAnsi="Arial" w:cs="Arial"/>
          <w:lang w:eastAsia="es-CO"/>
        </w:rPr>
        <w:t xml:space="preserve"> la Universidad.</w:t>
      </w:r>
      <w:r w:rsidR="00D42580" w:rsidRPr="00254C33">
        <w:rPr>
          <w:rFonts w:ascii="Arial" w:hAnsi="Arial" w:cs="Arial"/>
          <w:lang w:eastAsia="es-CO"/>
        </w:rPr>
        <w:t xml:space="preserve"> De igual forma</w:t>
      </w:r>
      <w:r w:rsidR="00FE797E" w:rsidRPr="00254C33">
        <w:rPr>
          <w:rFonts w:ascii="Arial" w:hAnsi="Arial" w:cs="Arial"/>
          <w:lang w:eastAsia="es-CO"/>
        </w:rPr>
        <w:t xml:space="preserve"> se le informó que debe allegar el recibido de la carta de remisión a más ta</w:t>
      </w:r>
      <w:r w:rsidRPr="00254C33">
        <w:rPr>
          <w:rFonts w:ascii="Arial" w:hAnsi="Arial" w:cs="Arial"/>
          <w:lang w:eastAsia="es-CO"/>
        </w:rPr>
        <w:t xml:space="preserve">rdar </w:t>
      </w:r>
      <w:r w:rsidR="007B1BDF" w:rsidRPr="00254C33">
        <w:rPr>
          <w:rFonts w:ascii="Arial" w:hAnsi="Arial" w:cs="Arial"/>
          <w:lang w:eastAsia="es-CO"/>
        </w:rPr>
        <w:t xml:space="preserve">a los tres (3) días siguientes a su </w:t>
      </w:r>
      <w:r w:rsidR="008F44A2" w:rsidRPr="00254C33">
        <w:rPr>
          <w:rFonts w:ascii="Arial" w:hAnsi="Arial" w:cs="Arial"/>
          <w:lang w:eastAsia="es-CO"/>
        </w:rPr>
        <w:t>entrega; de</w:t>
      </w:r>
      <w:r w:rsidR="00FE797E" w:rsidRPr="00254C33">
        <w:rPr>
          <w:rFonts w:ascii="Arial" w:hAnsi="Arial" w:cs="Arial"/>
          <w:u w:val="single"/>
          <w:lang w:eastAsia="es-CO"/>
        </w:rPr>
        <w:t xml:space="preserve"> lo contrario se tendrá como no formalizado el escenario y se le reportará N.P. </w:t>
      </w:r>
      <w:r w:rsidR="00202E83" w:rsidRPr="00254C33">
        <w:rPr>
          <w:rFonts w:ascii="Arial" w:hAnsi="Arial" w:cs="Arial"/>
          <w:lang w:eastAsia="es-CO"/>
        </w:rPr>
        <w:t xml:space="preserve"> </w:t>
      </w:r>
    </w:p>
    <w:p w14:paraId="192C9DA0" w14:textId="5B9692CD" w:rsidR="00FE797E" w:rsidRPr="00254C33" w:rsidRDefault="007B1BDF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En lo que al curso de INCLUSIÓN por</w:t>
      </w:r>
      <w:r w:rsidR="00FE797E" w:rsidRPr="00254C33">
        <w:rPr>
          <w:rFonts w:ascii="Arial" w:hAnsi="Arial" w:cs="Arial"/>
          <w:lang w:eastAsia="es-CO"/>
        </w:rPr>
        <w:t xml:space="preserve"> EXIA,</w:t>
      </w:r>
      <w:r w:rsidRPr="00254C33">
        <w:rPr>
          <w:rFonts w:ascii="Arial" w:hAnsi="Arial" w:cs="Arial"/>
          <w:lang w:eastAsia="es-CO"/>
        </w:rPr>
        <w:t xml:space="preserve"> para los estudiantes de Consultorio </w:t>
      </w:r>
      <w:r w:rsidR="008F44A2" w:rsidRPr="00254C33">
        <w:rPr>
          <w:rFonts w:ascii="Arial" w:hAnsi="Arial" w:cs="Arial"/>
          <w:lang w:eastAsia="es-CO"/>
        </w:rPr>
        <w:t>I; el</w:t>
      </w:r>
      <w:r w:rsidRPr="00254C33">
        <w:rPr>
          <w:rFonts w:ascii="Arial" w:hAnsi="Arial" w:cs="Arial"/>
          <w:lang w:eastAsia="es-CO"/>
        </w:rPr>
        <w:t xml:space="preserve"> </w:t>
      </w:r>
      <w:r w:rsidR="00FE797E" w:rsidRPr="00254C33">
        <w:rPr>
          <w:rFonts w:ascii="Arial" w:hAnsi="Arial" w:cs="Arial"/>
          <w:lang w:eastAsia="es-CO"/>
        </w:rPr>
        <w:t>estudiante estará pendiente en la plataforma de las tareas</w:t>
      </w:r>
      <w:r w:rsidRPr="00254C33">
        <w:rPr>
          <w:rFonts w:ascii="Arial" w:hAnsi="Arial" w:cs="Arial"/>
          <w:lang w:eastAsia="es-CO"/>
        </w:rPr>
        <w:t xml:space="preserve">, </w:t>
      </w:r>
      <w:r w:rsidR="00FE797E" w:rsidRPr="00254C33">
        <w:rPr>
          <w:rFonts w:ascii="Arial" w:hAnsi="Arial" w:cs="Arial"/>
          <w:lang w:eastAsia="es-CO"/>
        </w:rPr>
        <w:t>actividades correspondientes</w:t>
      </w:r>
      <w:r w:rsidRPr="00254C33">
        <w:rPr>
          <w:rFonts w:ascii="Arial" w:hAnsi="Arial" w:cs="Arial"/>
          <w:lang w:eastAsia="es-CO"/>
        </w:rPr>
        <w:t xml:space="preserve"> y fecha de cierre</w:t>
      </w:r>
      <w:r w:rsidR="00202E83" w:rsidRPr="00254C33">
        <w:rPr>
          <w:rFonts w:ascii="Arial" w:hAnsi="Arial" w:cs="Arial"/>
          <w:lang w:eastAsia="es-CO"/>
        </w:rPr>
        <w:t>, así como de la actividad jurídico social a realizar en campo y las observaciones respectivas.</w:t>
      </w:r>
    </w:p>
    <w:p w14:paraId="5FA7BDCB" w14:textId="77777777" w:rsidR="00FE797E" w:rsidRPr="00254C33" w:rsidRDefault="00FE797E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El estudiante no podrá una vez asignado el escenario, hacer cambio de éste, debido a la cobertura de la ARL; y cualquier cambio con justa causa, deberá hacerse bajo el acompañamiento de la dirección del consultorio jurídico.</w:t>
      </w:r>
    </w:p>
    <w:p w14:paraId="4128F734" w14:textId="570A333E" w:rsidR="00FE797E" w:rsidRPr="00254C33" w:rsidRDefault="00FE797E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De conformidad al reglamento interno de Consultorio Jurídico</w:t>
      </w:r>
      <w:r w:rsidR="00202E83" w:rsidRPr="00254C33">
        <w:rPr>
          <w:rFonts w:ascii="Arial" w:hAnsi="Arial" w:cs="Arial"/>
          <w:lang w:eastAsia="es-CO"/>
        </w:rPr>
        <w:t xml:space="preserve"> y Centro de Conciliación</w:t>
      </w:r>
      <w:r w:rsidRPr="00254C33">
        <w:rPr>
          <w:rFonts w:ascii="Arial" w:hAnsi="Arial" w:cs="Arial"/>
          <w:lang w:eastAsia="es-CO"/>
        </w:rPr>
        <w:t>, es obligatoria la asistencia a la inducción</w:t>
      </w:r>
      <w:r w:rsidR="007B1BDF" w:rsidRPr="00254C33">
        <w:rPr>
          <w:rFonts w:ascii="Arial" w:hAnsi="Arial" w:cs="Arial"/>
          <w:lang w:eastAsia="es-CO"/>
        </w:rPr>
        <w:t>.</w:t>
      </w:r>
    </w:p>
    <w:p w14:paraId="4EBFFEE4" w14:textId="05D6EA68" w:rsidR="007B1BDF" w:rsidRPr="00254C33" w:rsidRDefault="00FE797E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Se deja constancia que se le comunicó a él (la)</w:t>
      </w:r>
      <w:r w:rsidR="00202E83" w:rsidRPr="00254C33">
        <w:rPr>
          <w:rFonts w:ascii="Arial" w:hAnsi="Arial" w:cs="Arial"/>
          <w:lang w:eastAsia="es-CO"/>
        </w:rPr>
        <w:t xml:space="preserve"> (le)</w:t>
      </w:r>
      <w:r w:rsidRPr="00254C33">
        <w:rPr>
          <w:rFonts w:ascii="Arial" w:hAnsi="Arial" w:cs="Arial"/>
          <w:lang w:eastAsia="es-CO"/>
        </w:rPr>
        <w:t xml:space="preserve"> estudiante que el sistema de calificación de la asignatura Consultorio Jurídico es cualitativo, esto es aprobado (3</w:t>
      </w:r>
      <w:r w:rsidR="00EE4A39" w:rsidRPr="00254C33">
        <w:rPr>
          <w:rFonts w:ascii="Arial" w:hAnsi="Arial" w:cs="Arial"/>
          <w:lang w:eastAsia="es-CO"/>
        </w:rPr>
        <w:t>.0 a 5.0) o improbado (0.0 a 2.9</w:t>
      </w:r>
      <w:r w:rsidRPr="00254C33">
        <w:rPr>
          <w:rFonts w:ascii="Arial" w:hAnsi="Arial" w:cs="Arial"/>
          <w:lang w:eastAsia="es-CO"/>
        </w:rPr>
        <w:t>), razón por la cual solo se reportará una sola nota al final del semestre; con los seguimientos en los tres cortes establecidos por la institución.</w:t>
      </w:r>
    </w:p>
    <w:p w14:paraId="5BA0534A" w14:textId="3D7FD43C" w:rsidR="00FE797E" w:rsidRPr="00254C33" w:rsidRDefault="00FE797E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 xml:space="preserve"> El estudiante de conformidad </w:t>
      </w:r>
      <w:r w:rsidR="007B1BDF" w:rsidRPr="00254C33">
        <w:rPr>
          <w:rFonts w:ascii="Arial" w:hAnsi="Arial" w:cs="Arial"/>
          <w:lang w:eastAsia="es-CO"/>
        </w:rPr>
        <w:t>al</w:t>
      </w:r>
      <w:r w:rsidRPr="00254C33">
        <w:rPr>
          <w:rFonts w:ascii="Arial" w:hAnsi="Arial" w:cs="Arial"/>
          <w:lang w:eastAsia="es-CO"/>
        </w:rPr>
        <w:t xml:space="preserve"> Reglamento de Consultorio </w:t>
      </w:r>
      <w:r w:rsidR="00202E83" w:rsidRPr="00254C33">
        <w:rPr>
          <w:rFonts w:ascii="Arial" w:hAnsi="Arial" w:cs="Arial"/>
          <w:lang w:eastAsia="es-CO"/>
        </w:rPr>
        <w:t>Jurídico</w:t>
      </w:r>
      <w:r w:rsidRPr="00254C33">
        <w:rPr>
          <w:rFonts w:ascii="Arial" w:hAnsi="Arial" w:cs="Arial"/>
          <w:lang w:eastAsia="es-CO"/>
        </w:rPr>
        <w:t xml:space="preserve"> deberá de manera obligatoria en el primer y segundo corte institucional informar a la Dirección</w:t>
      </w:r>
      <w:r w:rsidR="00202E83" w:rsidRPr="00254C33">
        <w:rPr>
          <w:rFonts w:ascii="Arial" w:hAnsi="Arial" w:cs="Arial"/>
          <w:lang w:eastAsia="es-CO"/>
        </w:rPr>
        <w:t xml:space="preserve"> y/o Coordinación</w:t>
      </w:r>
      <w:r w:rsidRPr="00254C33">
        <w:rPr>
          <w:rFonts w:ascii="Arial" w:hAnsi="Arial" w:cs="Arial"/>
          <w:lang w:eastAsia="es-CO"/>
        </w:rPr>
        <w:t xml:space="preserve"> del Consultorio Jurídico </w:t>
      </w:r>
      <w:r w:rsidR="00202E83" w:rsidRPr="00254C33">
        <w:rPr>
          <w:rFonts w:ascii="Arial" w:hAnsi="Arial" w:cs="Arial"/>
          <w:lang w:eastAsia="es-CO"/>
        </w:rPr>
        <w:t xml:space="preserve">y Centro de Conciliación, </w:t>
      </w:r>
      <w:r w:rsidRPr="00254C33">
        <w:rPr>
          <w:rFonts w:ascii="Arial" w:hAnsi="Arial" w:cs="Arial"/>
          <w:lang w:eastAsia="es-CO"/>
        </w:rPr>
        <w:t>cualquier situación referente a sus prácticas</w:t>
      </w:r>
      <w:r w:rsidR="00202E83" w:rsidRPr="00254C33">
        <w:rPr>
          <w:rFonts w:ascii="Arial" w:hAnsi="Arial" w:cs="Arial"/>
          <w:lang w:eastAsia="es-CO"/>
        </w:rPr>
        <w:t>,</w:t>
      </w:r>
      <w:r w:rsidRPr="00254C33">
        <w:rPr>
          <w:rFonts w:ascii="Arial" w:hAnsi="Arial" w:cs="Arial"/>
          <w:lang w:eastAsia="es-CO"/>
        </w:rPr>
        <w:t xml:space="preserve"> que le impidan el cumplimiento de los objetivos de la asignatura</w:t>
      </w:r>
      <w:r w:rsidR="00202E83" w:rsidRPr="00254C33">
        <w:rPr>
          <w:rFonts w:ascii="Arial" w:hAnsi="Arial" w:cs="Arial"/>
          <w:lang w:eastAsia="es-CO"/>
        </w:rPr>
        <w:t>.</w:t>
      </w:r>
      <w:r w:rsidRPr="00254C33">
        <w:rPr>
          <w:rFonts w:ascii="Arial" w:hAnsi="Arial" w:cs="Arial"/>
          <w:lang w:eastAsia="es-CO"/>
        </w:rPr>
        <w:t xml:space="preserve"> Así mismo deberá informar por escrito cualquier situación de riesgo que detecte en el escenario de práctica.</w:t>
      </w:r>
    </w:p>
    <w:p w14:paraId="3246868C" w14:textId="77777777" w:rsidR="00C857E5" w:rsidRPr="00254C33" w:rsidRDefault="00FE797E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 xml:space="preserve">Nota Importante: excepcionalmente el estudiante que tenga la posibilidad de cumplir las 180 horas de manera intensiva, es decir </w:t>
      </w:r>
      <w:r w:rsidR="007B1BDF" w:rsidRPr="00254C33">
        <w:rPr>
          <w:rFonts w:ascii="Arial" w:hAnsi="Arial" w:cs="Arial"/>
          <w:lang w:eastAsia="es-CO"/>
        </w:rPr>
        <w:t>de lunes a jueves,</w:t>
      </w:r>
      <w:r w:rsidRPr="00254C33">
        <w:rPr>
          <w:rFonts w:ascii="Arial" w:hAnsi="Arial" w:cs="Arial"/>
          <w:lang w:eastAsia="es-CO"/>
        </w:rPr>
        <w:t xml:space="preserve"> lo podrá hacer, bajo </w:t>
      </w:r>
      <w:r w:rsidR="00202E83" w:rsidRPr="00254C33">
        <w:rPr>
          <w:rFonts w:ascii="Arial" w:hAnsi="Arial" w:cs="Arial"/>
          <w:lang w:eastAsia="es-CO"/>
        </w:rPr>
        <w:t xml:space="preserve">su voluntad y debe informar por correo electrónico a </w:t>
      </w:r>
      <w:r w:rsidRPr="00254C33">
        <w:rPr>
          <w:rFonts w:ascii="Arial" w:hAnsi="Arial" w:cs="Arial"/>
          <w:lang w:eastAsia="es-CO"/>
        </w:rPr>
        <w:t>la Dirección</w:t>
      </w:r>
      <w:r w:rsidR="00202E83" w:rsidRPr="00254C33">
        <w:rPr>
          <w:rFonts w:ascii="Arial" w:hAnsi="Arial" w:cs="Arial"/>
          <w:lang w:eastAsia="es-CO"/>
        </w:rPr>
        <w:t xml:space="preserve"> y/o Coordinación</w:t>
      </w:r>
      <w:r w:rsidRPr="00254C33">
        <w:rPr>
          <w:rFonts w:ascii="Arial" w:hAnsi="Arial" w:cs="Arial"/>
          <w:lang w:eastAsia="es-CO"/>
        </w:rPr>
        <w:t xml:space="preserve"> del Consultorio Jurídico.     </w:t>
      </w:r>
    </w:p>
    <w:p w14:paraId="30A83013" w14:textId="2A244E54" w:rsidR="002A3C8F" w:rsidRPr="00254C33" w:rsidRDefault="00C857E5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Se le recuerda que de conformidad</w:t>
      </w:r>
      <w:r w:rsidR="00DC6404" w:rsidRPr="00254C33">
        <w:rPr>
          <w:rFonts w:ascii="Arial" w:hAnsi="Arial" w:cs="Arial"/>
          <w:lang w:eastAsia="es-CO"/>
        </w:rPr>
        <w:t xml:space="preserve"> </w:t>
      </w:r>
      <w:r w:rsidR="008A7188" w:rsidRPr="00254C33">
        <w:rPr>
          <w:rFonts w:ascii="Arial" w:hAnsi="Arial" w:cs="Arial"/>
          <w:lang w:eastAsia="es-CO"/>
        </w:rPr>
        <w:t xml:space="preserve">a lo que establece la ley el estudiante debe fungir como Conciliador en dos audiencias de Conciliación. </w:t>
      </w:r>
      <w:r w:rsidR="00FE797E" w:rsidRPr="00254C33">
        <w:rPr>
          <w:rFonts w:ascii="Arial" w:hAnsi="Arial" w:cs="Arial"/>
          <w:lang w:eastAsia="es-CO"/>
        </w:rPr>
        <w:t xml:space="preserve"> </w:t>
      </w:r>
      <w:r w:rsidR="008A7188" w:rsidRPr="00254C33">
        <w:rPr>
          <w:rFonts w:ascii="Arial" w:hAnsi="Arial" w:cs="Arial"/>
          <w:lang w:eastAsia="es-CO"/>
        </w:rPr>
        <w:t xml:space="preserve">Estas audiencias deben realizarse dentro del periodo académico y antes de culminar el último Consultorio. </w:t>
      </w:r>
    </w:p>
    <w:p w14:paraId="53768E6E" w14:textId="77777777" w:rsidR="00A464F6" w:rsidRPr="00254C33" w:rsidRDefault="00A464F6" w:rsidP="00254C33">
      <w:pPr>
        <w:jc w:val="both"/>
        <w:rPr>
          <w:rFonts w:ascii="Arial" w:hAnsi="Arial" w:cs="Arial"/>
          <w:lang w:eastAsia="es-CO"/>
        </w:rPr>
      </w:pPr>
    </w:p>
    <w:p w14:paraId="76C8DB53" w14:textId="0F0880E9" w:rsidR="00A464F6" w:rsidRPr="00254C33" w:rsidRDefault="00A464F6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Atentamente</w:t>
      </w:r>
    </w:p>
    <w:p w14:paraId="21321A9C" w14:textId="55B338F9" w:rsidR="00A464F6" w:rsidRPr="00254C33" w:rsidRDefault="00A464F6" w:rsidP="00254C33">
      <w:pPr>
        <w:jc w:val="both"/>
        <w:rPr>
          <w:rFonts w:ascii="Arial" w:hAnsi="Arial" w:cs="Arial"/>
          <w:lang w:eastAsia="es-CO"/>
        </w:rPr>
      </w:pPr>
      <w:r w:rsidRPr="00254C33">
        <w:rPr>
          <w:rFonts w:ascii="Arial" w:hAnsi="Arial" w:cs="Arial"/>
          <w:lang w:eastAsia="es-CO"/>
        </w:rPr>
        <w:t>Consultorio Jurídico y Centro de Conciliación.</w:t>
      </w:r>
    </w:p>
    <w:p w14:paraId="76A75B95" w14:textId="4ED05116" w:rsidR="00043439" w:rsidRPr="00254C33" w:rsidRDefault="008A7188" w:rsidP="00254C33">
      <w:pPr>
        <w:jc w:val="both"/>
        <w:rPr>
          <w:rFonts w:ascii="Arial" w:hAnsi="Arial" w:cs="Arial"/>
        </w:rPr>
      </w:pPr>
      <w:r w:rsidRPr="00254C33">
        <w:rPr>
          <w:rFonts w:ascii="Arial" w:hAnsi="Arial" w:cs="Arial"/>
          <w:lang w:eastAsia="es-CO"/>
        </w:rPr>
        <w:t xml:space="preserve"> </w:t>
      </w:r>
    </w:p>
    <w:sectPr w:rsidR="00043439" w:rsidRPr="00254C33" w:rsidSect="008F44A2">
      <w:headerReference w:type="default" r:id="rId9"/>
      <w:pgSz w:w="12240" w:h="20160" w:code="5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BAC5" w14:textId="77777777" w:rsidR="00955D34" w:rsidRDefault="00955D34" w:rsidP="00FE797E">
      <w:pPr>
        <w:spacing w:after="0" w:line="240" w:lineRule="auto"/>
      </w:pPr>
      <w:r>
        <w:separator/>
      </w:r>
    </w:p>
  </w:endnote>
  <w:endnote w:type="continuationSeparator" w:id="0">
    <w:p w14:paraId="34C03D2D" w14:textId="77777777" w:rsidR="00955D34" w:rsidRDefault="00955D34" w:rsidP="00FE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4CB0" w14:textId="77777777" w:rsidR="00955D34" w:rsidRDefault="00955D34" w:rsidP="00FE797E">
      <w:pPr>
        <w:spacing w:after="0" w:line="240" w:lineRule="auto"/>
      </w:pPr>
      <w:r>
        <w:separator/>
      </w:r>
    </w:p>
  </w:footnote>
  <w:footnote w:type="continuationSeparator" w:id="0">
    <w:p w14:paraId="352CF581" w14:textId="77777777" w:rsidR="00955D34" w:rsidRDefault="00955D34" w:rsidP="00FE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309EFCB" w14:textId="77777777" w:rsidR="008F44A2" w:rsidRDefault="008F44A2">
        <w:pPr>
          <w:pStyle w:val="Encabezado"/>
          <w:jc w:val="right"/>
          <w:rPr>
            <w:lang w:val="es-ES"/>
          </w:rPr>
        </w:pPr>
      </w:p>
      <w:tbl>
        <w:tblPr>
          <w:tblW w:w="1020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>
        <w:tblGrid>
          <w:gridCol w:w="2405"/>
          <w:gridCol w:w="5245"/>
          <w:gridCol w:w="2551"/>
        </w:tblGrid>
        <w:tr w:rsidR="008F44A2" w:rsidRPr="00F97D19" w14:paraId="3FA5CAEB" w14:textId="77777777" w:rsidTr="00195587">
          <w:trPr>
            <w:trHeight w:val="673"/>
            <w:jc w:val="center"/>
          </w:trPr>
          <w:tc>
            <w:tcPr>
              <w:tcW w:w="2405" w:type="dxa"/>
              <w:vMerge w:val="restart"/>
              <w:tcBorders>
                <w:right w:val="single" w:sz="2" w:space="0" w:color="auto"/>
              </w:tcBorders>
              <w:vAlign w:val="center"/>
            </w:tcPr>
            <w:p w14:paraId="4F41028E" w14:textId="77777777" w:rsidR="008F44A2" w:rsidRPr="00F724F8" w:rsidRDefault="008F44A2" w:rsidP="008F44A2">
              <w:pPr>
                <w:spacing w:after="0"/>
                <w:ind w:left="-169" w:right="-132"/>
                <w:jc w:val="center"/>
                <w:rPr>
                  <w:rFonts w:ascii="Times New Roman" w:hAnsi="Times New Roman"/>
                  <w:b/>
                  <w:sz w:val="32"/>
                </w:rPr>
              </w:pPr>
              <w:r w:rsidRPr="00D742CD">
                <w:rPr>
                  <w:noProof/>
                </w:rPr>
                <w:drawing>
                  <wp:inline distT="0" distB="0" distL="0" distR="0" wp14:anchorId="570EA4C1" wp14:editId="67D371A1">
                    <wp:extent cx="1066165" cy="1190625"/>
                    <wp:effectExtent l="0" t="0" r="0" b="0"/>
                    <wp:docPr id="540244822" name="Imagen 1" descr="Logotipo&#10;&#10;Descripción generada automáticament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1" descr="Logotipo&#10;&#10;Descripción generada automáticament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165" cy="1190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245" w:type="dxa"/>
              <w:vMerge w:val="restart"/>
              <w:tcBorders>
                <w:left w:val="single" w:sz="2" w:space="0" w:color="auto"/>
              </w:tcBorders>
              <w:vAlign w:val="center"/>
            </w:tcPr>
            <w:p w14:paraId="6F576223" w14:textId="77777777" w:rsidR="008F44A2" w:rsidRDefault="008F44A2" w:rsidP="008F44A2">
              <w:pPr>
                <w:spacing w:after="0"/>
                <w:jc w:val="center"/>
                <w:rPr>
                  <w:rFonts w:ascii="Arial" w:eastAsia="Arial" w:hAnsi="Arial" w:cs="Arial"/>
                  <w:b/>
                  <w:sz w:val="28"/>
                  <w:szCs w:val="28"/>
                </w:rPr>
              </w:pPr>
              <w:r>
                <w:rPr>
                  <w:rFonts w:ascii="Arial" w:eastAsia="Arial" w:hAnsi="Arial" w:cs="Arial"/>
                  <w:b/>
                  <w:sz w:val="28"/>
                  <w:szCs w:val="28"/>
                </w:rPr>
                <w:t>INDUCCIÓN A PRÁCTICAS</w:t>
              </w:r>
            </w:p>
            <w:p w14:paraId="0C0BEA30" w14:textId="1E2C71F9" w:rsidR="008F44A2" w:rsidRPr="009708E8" w:rsidRDefault="008F44A2" w:rsidP="008F44A2">
              <w:pPr>
                <w:spacing w:after="0"/>
                <w:jc w:val="center"/>
                <w:rPr>
                  <w:rFonts w:ascii="Arial" w:eastAsia="Arial" w:hAnsi="Arial" w:cs="Arial"/>
                  <w:b/>
                  <w:sz w:val="28"/>
                  <w:szCs w:val="28"/>
                </w:rPr>
              </w:pPr>
              <w:r>
                <w:rPr>
                  <w:rFonts w:ascii="Arial" w:eastAsia="Arial" w:hAnsi="Arial" w:cs="Arial"/>
                  <w:b/>
                  <w:sz w:val="16"/>
                  <w:szCs w:val="16"/>
                </w:rPr>
                <w:t>CON</w:t>
              </w:r>
              <w:r w:rsidRPr="009708E8">
                <w:rPr>
                  <w:rFonts w:ascii="Arial" w:eastAsia="Arial" w:hAnsi="Arial" w:cs="Arial"/>
                  <w:b/>
                  <w:sz w:val="16"/>
                  <w:szCs w:val="16"/>
                </w:rPr>
                <w:t xml:space="preserve">SULTORÍO JURÍDICO </w:t>
              </w:r>
              <w:r>
                <w:rPr>
                  <w:rFonts w:ascii="Arial" w:eastAsia="Arial" w:hAnsi="Arial" w:cs="Arial"/>
                  <w:b/>
                  <w:sz w:val="16"/>
                  <w:szCs w:val="16"/>
                </w:rPr>
                <w:t>- UNIVERSIDAD AUTÓNOMA DEL CARIBE</w:t>
              </w:r>
            </w:p>
          </w:tc>
          <w:tc>
            <w:tcPr>
              <w:tcW w:w="2551" w:type="dxa"/>
              <w:tcBorders>
                <w:left w:val="single" w:sz="2" w:space="0" w:color="auto"/>
              </w:tcBorders>
              <w:vAlign w:val="center"/>
            </w:tcPr>
            <w:p w14:paraId="4023FCCB" w14:textId="666F122F" w:rsidR="008F44A2" w:rsidRPr="006E399D" w:rsidRDefault="000D3201" w:rsidP="008F44A2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0D3201">
                <w:rPr>
                  <w:rFonts w:ascii="Arial" w:hAnsi="Arial" w:cs="Arial"/>
                  <w:b/>
                  <w:sz w:val="20"/>
                  <w:szCs w:val="20"/>
                </w:rPr>
                <w:t>AC-EX-PR-105-39</w:t>
              </w:r>
            </w:p>
          </w:tc>
        </w:tr>
        <w:tr w:rsidR="008F44A2" w:rsidRPr="00F97D19" w14:paraId="0DDCE452" w14:textId="77777777" w:rsidTr="00195587">
          <w:trPr>
            <w:trHeight w:val="673"/>
            <w:jc w:val="center"/>
          </w:trPr>
          <w:tc>
            <w:tcPr>
              <w:tcW w:w="2405" w:type="dxa"/>
              <w:vMerge/>
              <w:tcBorders>
                <w:right w:val="single" w:sz="2" w:space="0" w:color="auto"/>
              </w:tcBorders>
              <w:vAlign w:val="center"/>
            </w:tcPr>
            <w:p w14:paraId="566664AC" w14:textId="77777777" w:rsidR="008F44A2" w:rsidRDefault="008F44A2" w:rsidP="008F44A2">
              <w:pPr>
                <w:rPr>
                  <w:noProof/>
                  <w:lang w:eastAsia="es-ES"/>
                </w:rPr>
              </w:pPr>
            </w:p>
          </w:tc>
          <w:tc>
            <w:tcPr>
              <w:tcW w:w="5245" w:type="dxa"/>
              <w:vMerge/>
              <w:tcBorders>
                <w:left w:val="single" w:sz="2" w:space="0" w:color="auto"/>
              </w:tcBorders>
              <w:vAlign w:val="center"/>
            </w:tcPr>
            <w:p w14:paraId="31310961" w14:textId="77777777" w:rsidR="008F44A2" w:rsidRPr="006E399D" w:rsidRDefault="008F44A2" w:rsidP="008F44A2">
              <w:pPr>
                <w:jc w:val="center"/>
                <w:rPr>
                  <w:rFonts w:ascii="Arial" w:hAnsi="Arial" w:cs="Arial"/>
                  <w:b/>
                  <w:sz w:val="28"/>
                </w:rPr>
              </w:pPr>
            </w:p>
          </w:tc>
          <w:tc>
            <w:tcPr>
              <w:tcW w:w="2551" w:type="dxa"/>
              <w:tcBorders>
                <w:left w:val="single" w:sz="2" w:space="0" w:color="auto"/>
              </w:tcBorders>
              <w:vAlign w:val="center"/>
            </w:tcPr>
            <w:p w14:paraId="4141A17C" w14:textId="77777777" w:rsidR="008F44A2" w:rsidRPr="006E399D" w:rsidRDefault="008F44A2" w:rsidP="008F44A2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>
                <w:rPr>
                  <w:rFonts w:ascii="Arial" w:hAnsi="Arial" w:cs="Arial"/>
                  <w:b/>
                  <w:sz w:val="20"/>
                  <w:szCs w:val="20"/>
                </w:rPr>
                <w:t>Versión 1</w:t>
              </w:r>
            </w:p>
          </w:tc>
        </w:tr>
        <w:tr w:rsidR="008F44A2" w:rsidRPr="00F97D19" w14:paraId="6D043FC0" w14:textId="77777777" w:rsidTr="00195587">
          <w:trPr>
            <w:trHeight w:val="673"/>
            <w:jc w:val="center"/>
          </w:trPr>
          <w:tc>
            <w:tcPr>
              <w:tcW w:w="2405" w:type="dxa"/>
              <w:vMerge/>
              <w:tcBorders>
                <w:right w:val="single" w:sz="2" w:space="0" w:color="auto"/>
              </w:tcBorders>
              <w:vAlign w:val="center"/>
            </w:tcPr>
            <w:p w14:paraId="6E2FE232" w14:textId="77777777" w:rsidR="008F44A2" w:rsidRPr="00DA1591" w:rsidRDefault="008F44A2" w:rsidP="008F44A2">
              <w:pPr>
                <w:jc w:val="center"/>
                <w:rPr>
                  <w:rFonts w:ascii="Times New Roman" w:hAnsi="Times New Roman"/>
                  <w:b/>
                  <w:sz w:val="28"/>
                </w:rPr>
              </w:pPr>
            </w:p>
          </w:tc>
          <w:tc>
            <w:tcPr>
              <w:tcW w:w="5245" w:type="dxa"/>
              <w:vMerge/>
              <w:tcBorders>
                <w:left w:val="single" w:sz="2" w:space="0" w:color="auto"/>
              </w:tcBorders>
              <w:vAlign w:val="center"/>
            </w:tcPr>
            <w:p w14:paraId="3E059226" w14:textId="77777777" w:rsidR="008F44A2" w:rsidRPr="006E399D" w:rsidRDefault="008F44A2" w:rsidP="008F44A2">
              <w:pPr>
                <w:jc w:val="center"/>
                <w:rPr>
                  <w:rFonts w:ascii="Arial" w:hAnsi="Arial" w:cs="Arial"/>
                  <w:b/>
                  <w:sz w:val="28"/>
                </w:rPr>
              </w:pPr>
            </w:p>
          </w:tc>
          <w:tc>
            <w:tcPr>
              <w:tcW w:w="2551" w:type="dxa"/>
              <w:tcBorders>
                <w:left w:val="single" w:sz="2" w:space="0" w:color="auto"/>
              </w:tcBorders>
              <w:vAlign w:val="center"/>
            </w:tcPr>
            <w:p w14:paraId="76C48A8D" w14:textId="42D68F51" w:rsidR="008F44A2" w:rsidRPr="007E4021" w:rsidRDefault="000D3201" w:rsidP="008F44A2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>
                <w:rPr>
                  <w:rFonts w:ascii="Arial" w:hAnsi="Arial" w:cs="Arial"/>
                  <w:b/>
                  <w:sz w:val="20"/>
                  <w:szCs w:val="20"/>
                </w:rPr>
                <w:t>02/12/2025</w:t>
              </w:r>
            </w:p>
          </w:tc>
        </w:tr>
      </w:tbl>
      <w:p w14:paraId="2D64AB19" w14:textId="3D74A035" w:rsidR="00D248FF" w:rsidRDefault="00000000">
        <w:pPr>
          <w:pStyle w:val="Encabezado"/>
          <w:jc w:val="right"/>
        </w:pPr>
      </w:p>
    </w:sdtContent>
  </w:sdt>
  <w:p w14:paraId="0A04B753" w14:textId="77777777" w:rsidR="000835FF" w:rsidRDefault="000835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D0B93"/>
    <w:multiLevelType w:val="hybridMultilevel"/>
    <w:tmpl w:val="CD5AAE00"/>
    <w:lvl w:ilvl="0" w:tplc="4BC2E8CE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13" w:hanging="360"/>
      </w:pPr>
    </w:lvl>
    <w:lvl w:ilvl="2" w:tplc="240A001B" w:tentative="1">
      <w:start w:val="1"/>
      <w:numFmt w:val="lowerRoman"/>
      <w:lvlText w:val="%3."/>
      <w:lvlJc w:val="right"/>
      <w:pPr>
        <w:ind w:left="2433" w:hanging="180"/>
      </w:pPr>
    </w:lvl>
    <w:lvl w:ilvl="3" w:tplc="240A000F" w:tentative="1">
      <w:start w:val="1"/>
      <w:numFmt w:val="decimal"/>
      <w:lvlText w:val="%4."/>
      <w:lvlJc w:val="left"/>
      <w:pPr>
        <w:ind w:left="3153" w:hanging="360"/>
      </w:pPr>
    </w:lvl>
    <w:lvl w:ilvl="4" w:tplc="240A0019" w:tentative="1">
      <w:start w:val="1"/>
      <w:numFmt w:val="lowerLetter"/>
      <w:lvlText w:val="%5."/>
      <w:lvlJc w:val="left"/>
      <w:pPr>
        <w:ind w:left="3873" w:hanging="360"/>
      </w:pPr>
    </w:lvl>
    <w:lvl w:ilvl="5" w:tplc="240A001B" w:tentative="1">
      <w:start w:val="1"/>
      <w:numFmt w:val="lowerRoman"/>
      <w:lvlText w:val="%6."/>
      <w:lvlJc w:val="right"/>
      <w:pPr>
        <w:ind w:left="4593" w:hanging="180"/>
      </w:pPr>
    </w:lvl>
    <w:lvl w:ilvl="6" w:tplc="240A000F" w:tentative="1">
      <w:start w:val="1"/>
      <w:numFmt w:val="decimal"/>
      <w:lvlText w:val="%7."/>
      <w:lvlJc w:val="left"/>
      <w:pPr>
        <w:ind w:left="5313" w:hanging="360"/>
      </w:pPr>
    </w:lvl>
    <w:lvl w:ilvl="7" w:tplc="240A0019" w:tentative="1">
      <w:start w:val="1"/>
      <w:numFmt w:val="lowerLetter"/>
      <w:lvlText w:val="%8."/>
      <w:lvlJc w:val="left"/>
      <w:pPr>
        <w:ind w:left="6033" w:hanging="360"/>
      </w:pPr>
    </w:lvl>
    <w:lvl w:ilvl="8" w:tplc="240A001B" w:tentative="1">
      <w:start w:val="1"/>
      <w:numFmt w:val="lowerRoman"/>
      <w:lvlText w:val="%9."/>
      <w:lvlJc w:val="right"/>
      <w:pPr>
        <w:ind w:left="6753" w:hanging="180"/>
      </w:pPr>
    </w:lvl>
  </w:abstractNum>
  <w:num w:numId="1" w16cid:durableId="66401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7E"/>
    <w:rsid w:val="000074B9"/>
    <w:rsid w:val="0003001D"/>
    <w:rsid w:val="00034379"/>
    <w:rsid w:val="00034BA6"/>
    <w:rsid w:val="000357CE"/>
    <w:rsid w:val="00043439"/>
    <w:rsid w:val="000835FF"/>
    <w:rsid w:val="000D3201"/>
    <w:rsid w:val="0012002C"/>
    <w:rsid w:val="00124A75"/>
    <w:rsid w:val="00132D86"/>
    <w:rsid w:val="00132F5D"/>
    <w:rsid w:val="0016014F"/>
    <w:rsid w:val="00177E35"/>
    <w:rsid w:val="00195587"/>
    <w:rsid w:val="001D6E91"/>
    <w:rsid w:val="001D75A0"/>
    <w:rsid w:val="001E2C5D"/>
    <w:rsid w:val="00202E83"/>
    <w:rsid w:val="00247084"/>
    <w:rsid w:val="00254C33"/>
    <w:rsid w:val="002651F5"/>
    <w:rsid w:val="00267C01"/>
    <w:rsid w:val="002833B8"/>
    <w:rsid w:val="002A3C8F"/>
    <w:rsid w:val="002D1839"/>
    <w:rsid w:val="003053AA"/>
    <w:rsid w:val="003165AE"/>
    <w:rsid w:val="00394AC2"/>
    <w:rsid w:val="003A0552"/>
    <w:rsid w:val="003A6357"/>
    <w:rsid w:val="003D599D"/>
    <w:rsid w:val="00400076"/>
    <w:rsid w:val="0043253A"/>
    <w:rsid w:val="00477047"/>
    <w:rsid w:val="0048698B"/>
    <w:rsid w:val="00491F1C"/>
    <w:rsid w:val="00495EB0"/>
    <w:rsid w:val="004B22F2"/>
    <w:rsid w:val="004C5491"/>
    <w:rsid w:val="004F226F"/>
    <w:rsid w:val="004F7254"/>
    <w:rsid w:val="00522E58"/>
    <w:rsid w:val="00523736"/>
    <w:rsid w:val="00541D34"/>
    <w:rsid w:val="0054281E"/>
    <w:rsid w:val="00561304"/>
    <w:rsid w:val="00570C4C"/>
    <w:rsid w:val="00575DB3"/>
    <w:rsid w:val="00577061"/>
    <w:rsid w:val="005934E3"/>
    <w:rsid w:val="005A11EE"/>
    <w:rsid w:val="005A1BF1"/>
    <w:rsid w:val="005A6175"/>
    <w:rsid w:val="005F6457"/>
    <w:rsid w:val="00605A78"/>
    <w:rsid w:val="00617F62"/>
    <w:rsid w:val="00621B4A"/>
    <w:rsid w:val="00623071"/>
    <w:rsid w:val="00623F52"/>
    <w:rsid w:val="00697024"/>
    <w:rsid w:val="006A0342"/>
    <w:rsid w:val="006E5C38"/>
    <w:rsid w:val="006E5FF1"/>
    <w:rsid w:val="007320B7"/>
    <w:rsid w:val="00735887"/>
    <w:rsid w:val="0074533F"/>
    <w:rsid w:val="00784878"/>
    <w:rsid w:val="007909FB"/>
    <w:rsid w:val="00796CAF"/>
    <w:rsid w:val="007975C7"/>
    <w:rsid w:val="007B1BDF"/>
    <w:rsid w:val="007B3BB4"/>
    <w:rsid w:val="007D6A42"/>
    <w:rsid w:val="0081212B"/>
    <w:rsid w:val="008625E5"/>
    <w:rsid w:val="008A1887"/>
    <w:rsid w:val="008A245D"/>
    <w:rsid w:val="008A7188"/>
    <w:rsid w:val="008B0338"/>
    <w:rsid w:val="008B4A8C"/>
    <w:rsid w:val="008D020C"/>
    <w:rsid w:val="008E2B98"/>
    <w:rsid w:val="008F44A2"/>
    <w:rsid w:val="00924FFA"/>
    <w:rsid w:val="00931267"/>
    <w:rsid w:val="00932665"/>
    <w:rsid w:val="009351D4"/>
    <w:rsid w:val="00955D34"/>
    <w:rsid w:val="00974BEF"/>
    <w:rsid w:val="0098634C"/>
    <w:rsid w:val="00987B73"/>
    <w:rsid w:val="009B57BB"/>
    <w:rsid w:val="009C7AAA"/>
    <w:rsid w:val="009E1B4D"/>
    <w:rsid w:val="00A11B8A"/>
    <w:rsid w:val="00A1286B"/>
    <w:rsid w:val="00A26372"/>
    <w:rsid w:val="00A45345"/>
    <w:rsid w:val="00A464F6"/>
    <w:rsid w:val="00A671C4"/>
    <w:rsid w:val="00A737FA"/>
    <w:rsid w:val="00A85BDF"/>
    <w:rsid w:val="00A90F36"/>
    <w:rsid w:val="00AA4A2A"/>
    <w:rsid w:val="00AA6526"/>
    <w:rsid w:val="00AE3D68"/>
    <w:rsid w:val="00AF16B3"/>
    <w:rsid w:val="00B12583"/>
    <w:rsid w:val="00B2228D"/>
    <w:rsid w:val="00B22ABC"/>
    <w:rsid w:val="00B26B33"/>
    <w:rsid w:val="00B62AEC"/>
    <w:rsid w:val="00B85676"/>
    <w:rsid w:val="00B955F5"/>
    <w:rsid w:val="00B961CA"/>
    <w:rsid w:val="00BB6619"/>
    <w:rsid w:val="00BF674E"/>
    <w:rsid w:val="00C0659B"/>
    <w:rsid w:val="00C857E5"/>
    <w:rsid w:val="00CA0002"/>
    <w:rsid w:val="00CA2999"/>
    <w:rsid w:val="00CA5A27"/>
    <w:rsid w:val="00CB44F1"/>
    <w:rsid w:val="00D17C02"/>
    <w:rsid w:val="00D21CA6"/>
    <w:rsid w:val="00D248FF"/>
    <w:rsid w:val="00D40E22"/>
    <w:rsid w:val="00D42580"/>
    <w:rsid w:val="00D60811"/>
    <w:rsid w:val="00D64F83"/>
    <w:rsid w:val="00D73065"/>
    <w:rsid w:val="00DC5F8F"/>
    <w:rsid w:val="00DC6404"/>
    <w:rsid w:val="00DD06E8"/>
    <w:rsid w:val="00DD14A2"/>
    <w:rsid w:val="00DF18CA"/>
    <w:rsid w:val="00E02669"/>
    <w:rsid w:val="00E55A57"/>
    <w:rsid w:val="00E565F3"/>
    <w:rsid w:val="00E801A4"/>
    <w:rsid w:val="00E86D3D"/>
    <w:rsid w:val="00E94BC1"/>
    <w:rsid w:val="00EB307D"/>
    <w:rsid w:val="00EC0EA5"/>
    <w:rsid w:val="00EC5D4C"/>
    <w:rsid w:val="00ED4E0E"/>
    <w:rsid w:val="00EE4A39"/>
    <w:rsid w:val="00EF0759"/>
    <w:rsid w:val="00F2434D"/>
    <w:rsid w:val="00F27C0E"/>
    <w:rsid w:val="00F43F00"/>
    <w:rsid w:val="00F93A32"/>
    <w:rsid w:val="00FB251A"/>
    <w:rsid w:val="00FD3362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F4B"/>
  <w15:chartTrackingRefBased/>
  <w15:docId w15:val="{F06114E1-6FCF-4B94-88D3-9C5E4FE1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97E"/>
  </w:style>
  <w:style w:type="paragraph" w:styleId="Piedepgina">
    <w:name w:val="footer"/>
    <w:basedOn w:val="Normal"/>
    <w:link w:val="PiedepginaCar"/>
    <w:uiPriority w:val="99"/>
    <w:unhideWhenUsed/>
    <w:rsid w:val="00FE7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97E"/>
  </w:style>
  <w:style w:type="paragraph" w:styleId="Sinespaciado">
    <w:name w:val="No Spacing"/>
    <w:uiPriority w:val="1"/>
    <w:qFormat/>
    <w:rsid w:val="00FE797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E79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43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58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A12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FA53-5360-4319-AB98-BBF519F0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79 Gutierrez</dc:creator>
  <cp:keywords/>
  <dc:description/>
  <cp:lastModifiedBy>jorge candanosa</cp:lastModifiedBy>
  <cp:revision>3</cp:revision>
  <cp:lastPrinted>2019-02-04T15:45:00Z</cp:lastPrinted>
  <dcterms:created xsi:type="dcterms:W3CDTF">2025-12-02T15:54:00Z</dcterms:created>
  <dcterms:modified xsi:type="dcterms:W3CDTF">2025-12-09T20:43:00Z</dcterms:modified>
</cp:coreProperties>
</file>