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0A9F56" w14:textId="33348A3E" w:rsidR="00BE6C2A" w:rsidRDefault="00BE6C2A" w:rsidP="00BE6C2A">
      <w:pPr>
        <w:spacing w:line="480" w:lineRule="auto"/>
        <w:jc w:val="center"/>
        <w:rPr>
          <w:rFonts w:ascii="Times New Roman" w:hAnsi="Times New Roman" w:cs="Times New Roman"/>
          <w:b/>
          <w:bCs/>
          <w:sz w:val="24"/>
          <w:szCs w:val="24"/>
        </w:rPr>
      </w:pPr>
      <w:r w:rsidRPr="00B45B41">
        <w:rPr>
          <w:rFonts w:ascii="Times New Roman" w:hAnsi="Times New Roman" w:cs="Times New Roman"/>
          <w:b/>
          <w:bCs/>
          <w:sz w:val="24"/>
          <w:szCs w:val="24"/>
        </w:rPr>
        <w:t>A</w:t>
      </w:r>
      <w:r w:rsidR="00785073">
        <w:rPr>
          <w:rFonts w:ascii="Times New Roman" w:hAnsi="Times New Roman" w:cs="Times New Roman"/>
          <w:b/>
          <w:bCs/>
          <w:sz w:val="24"/>
          <w:szCs w:val="24"/>
        </w:rPr>
        <w:t>nálisis</w:t>
      </w:r>
      <w:r w:rsidRPr="00B45B41">
        <w:rPr>
          <w:rFonts w:ascii="Times New Roman" w:hAnsi="Times New Roman" w:cs="Times New Roman"/>
          <w:b/>
          <w:bCs/>
          <w:sz w:val="24"/>
          <w:szCs w:val="24"/>
        </w:rPr>
        <w:t xml:space="preserve"> </w:t>
      </w:r>
      <w:r w:rsidR="00785073">
        <w:rPr>
          <w:rFonts w:ascii="Times New Roman" w:hAnsi="Times New Roman" w:cs="Times New Roman"/>
          <w:b/>
          <w:bCs/>
          <w:sz w:val="24"/>
          <w:szCs w:val="24"/>
        </w:rPr>
        <w:t>del Feminicidio en</w:t>
      </w:r>
      <w:r w:rsidRPr="00B45B41">
        <w:rPr>
          <w:rFonts w:ascii="Times New Roman" w:hAnsi="Times New Roman" w:cs="Times New Roman"/>
          <w:b/>
          <w:bCs/>
          <w:sz w:val="24"/>
          <w:szCs w:val="24"/>
        </w:rPr>
        <w:t xml:space="preserve"> B</w:t>
      </w:r>
      <w:r w:rsidR="00785073">
        <w:rPr>
          <w:rFonts w:ascii="Times New Roman" w:hAnsi="Times New Roman" w:cs="Times New Roman"/>
          <w:b/>
          <w:bCs/>
          <w:sz w:val="24"/>
          <w:szCs w:val="24"/>
        </w:rPr>
        <w:t>arranquilla y</w:t>
      </w:r>
      <w:r w:rsidRPr="00B45B41">
        <w:rPr>
          <w:rFonts w:ascii="Times New Roman" w:hAnsi="Times New Roman" w:cs="Times New Roman"/>
          <w:b/>
          <w:bCs/>
          <w:sz w:val="24"/>
          <w:szCs w:val="24"/>
        </w:rPr>
        <w:t xml:space="preserve"> </w:t>
      </w:r>
      <w:r w:rsidR="00785073">
        <w:rPr>
          <w:rFonts w:ascii="Times New Roman" w:hAnsi="Times New Roman" w:cs="Times New Roman"/>
          <w:b/>
          <w:bCs/>
          <w:sz w:val="24"/>
          <w:szCs w:val="24"/>
        </w:rPr>
        <w:t>su</w:t>
      </w:r>
      <w:r w:rsidRPr="00B45B41">
        <w:rPr>
          <w:rFonts w:ascii="Times New Roman" w:hAnsi="Times New Roman" w:cs="Times New Roman"/>
          <w:b/>
          <w:bCs/>
          <w:sz w:val="24"/>
          <w:szCs w:val="24"/>
        </w:rPr>
        <w:t xml:space="preserve"> Á</w:t>
      </w:r>
      <w:r w:rsidR="00785073">
        <w:rPr>
          <w:rFonts w:ascii="Times New Roman" w:hAnsi="Times New Roman" w:cs="Times New Roman"/>
          <w:b/>
          <w:bCs/>
          <w:sz w:val="24"/>
          <w:szCs w:val="24"/>
        </w:rPr>
        <w:t>rea</w:t>
      </w:r>
      <w:r w:rsidRPr="00B45B41">
        <w:rPr>
          <w:rFonts w:ascii="Times New Roman" w:hAnsi="Times New Roman" w:cs="Times New Roman"/>
          <w:b/>
          <w:bCs/>
          <w:sz w:val="24"/>
          <w:szCs w:val="24"/>
        </w:rPr>
        <w:t xml:space="preserve"> M</w:t>
      </w:r>
      <w:r w:rsidR="00785073">
        <w:rPr>
          <w:rFonts w:ascii="Times New Roman" w:hAnsi="Times New Roman" w:cs="Times New Roman"/>
          <w:b/>
          <w:bCs/>
          <w:sz w:val="24"/>
          <w:szCs w:val="24"/>
        </w:rPr>
        <w:t xml:space="preserve">etropolitana </w:t>
      </w:r>
      <w:r w:rsidRPr="00B45B41">
        <w:rPr>
          <w:rFonts w:ascii="Times New Roman" w:hAnsi="Times New Roman" w:cs="Times New Roman"/>
          <w:b/>
          <w:bCs/>
          <w:sz w:val="24"/>
          <w:szCs w:val="24"/>
        </w:rPr>
        <w:t>D</w:t>
      </w:r>
      <w:r w:rsidR="00785073">
        <w:rPr>
          <w:rFonts w:ascii="Times New Roman" w:hAnsi="Times New Roman" w:cs="Times New Roman"/>
          <w:b/>
          <w:bCs/>
          <w:sz w:val="24"/>
          <w:szCs w:val="24"/>
        </w:rPr>
        <w:t>esde</w:t>
      </w:r>
      <w:r w:rsidRPr="00B45B41">
        <w:rPr>
          <w:rFonts w:ascii="Times New Roman" w:hAnsi="Times New Roman" w:cs="Times New Roman"/>
          <w:b/>
          <w:bCs/>
          <w:sz w:val="24"/>
          <w:szCs w:val="24"/>
        </w:rPr>
        <w:t xml:space="preserve"> </w:t>
      </w:r>
      <w:r w:rsidR="00785073">
        <w:rPr>
          <w:rFonts w:ascii="Times New Roman" w:hAnsi="Times New Roman" w:cs="Times New Roman"/>
          <w:b/>
          <w:bCs/>
          <w:sz w:val="24"/>
          <w:szCs w:val="24"/>
        </w:rPr>
        <w:t>el</w:t>
      </w:r>
      <w:r w:rsidRPr="00B45B41">
        <w:rPr>
          <w:rFonts w:ascii="Times New Roman" w:hAnsi="Times New Roman" w:cs="Times New Roman"/>
          <w:b/>
          <w:bCs/>
          <w:sz w:val="24"/>
          <w:szCs w:val="24"/>
        </w:rPr>
        <w:t xml:space="preserve"> 2020 </w:t>
      </w:r>
      <w:r w:rsidR="00785073">
        <w:rPr>
          <w:rFonts w:ascii="Times New Roman" w:hAnsi="Times New Roman" w:cs="Times New Roman"/>
          <w:b/>
          <w:bCs/>
          <w:sz w:val="24"/>
          <w:szCs w:val="24"/>
        </w:rPr>
        <w:t xml:space="preserve">al </w:t>
      </w:r>
      <w:r w:rsidRPr="00B45B41">
        <w:rPr>
          <w:rFonts w:ascii="Times New Roman" w:hAnsi="Times New Roman" w:cs="Times New Roman"/>
          <w:b/>
          <w:bCs/>
          <w:sz w:val="24"/>
          <w:szCs w:val="24"/>
        </w:rPr>
        <w:t>2024.</w:t>
      </w:r>
    </w:p>
    <w:p w14:paraId="5B0EBDDC" w14:textId="77777777" w:rsidR="00BE6C2A" w:rsidRDefault="00BE6C2A" w:rsidP="00BE6C2A">
      <w:pPr>
        <w:spacing w:line="480" w:lineRule="auto"/>
        <w:jc w:val="center"/>
        <w:rPr>
          <w:rFonts w:ascii="Times New Roman" w:hAnsi="Times New Roman" w:cs="Times New Roman"/>
          <w:b/>
          <w:bCs/>
          <w:sz w:val="24"/>
          <w:szCs w:val="24"/>
        </w:rPr>
      </w:pPr>
    </w:p>
    <w:p w14:paraId="2CA548DB" w14:textId="77777777" w:rsidR="00BE6C2A" w:rsidRDefault="00BE6C2A" w:rsidP="00BE6C2A">
      <w:pPr>
        <w:spacing w:line="480" w:lineRule="auto"/>
        <w:jc w:val="center"/>
        <w:rPr>
          <w:rFonts w:ascii="Times New Roman" w:hAnsi="Times New Roman" w:cs="Times New Roman"/>
          <w:b/>
          <w:bCs/>
          <w:sz w:val="24"/>
          <w:szCs w:val="24"/>
        </w:rPr>
      </w:pPr>
    </w:p>
    <w:p w14:paraId="0C0E983C" w14:textId="77777777" w:rsidR="00BE6C2A" w:rsidRDefault="00BE6C2A" w:rsidP="00BE6C2A">
      <w:pPr>
        <w:spacing w:line="480" w:lineRule="auto"/>
        <w:jc w:val="center"/>
        <w:rPr>
          <w:rFonts w:ascii="Times New Roman" w:hAnsi="Times New Roman" w:cs="Times New Roman"/>
          <w:b/>
          <w:bCs/>
          <w:sz w:val="24"/>
          <w:szCs w:val="24"/>
        </w:rPr>
      </w:pPr>
    </w:p>
    <w:p w14:paraId="4E14894F" w14:textId="77777777" w:rsidR="00BE6C2A" w:rsidRPr="00BE6C2A" w:rsidRDefault="00BE6C2A" w:rsidP="00BE6C2A">
      <w:pPr>
        <w:spacing w:line="480" w:lineRule="auto"/>
        <w:jc w:val="center"/>
        <w:rPr>
          <w:rFonts w:ascii="Times New Roman" w:hAnsi="Times New Roman" w:cs="Times New Roman"/>
          <w:sz w:val="24"/>
          <w:szCs w:val="24"/>
        </w:rPr>
      </w:pPr>
    </w:p>
    <w:p w14:paraId="772796BF" w14:textId="63ED46B9" w:rsidR="00BE6C2A" w:rsidRPr="00BE6C2A" w:rsidRDefault="00631953" w:rsidP="00BE6C2A">
      <w:pPr>
        <w:spacing w:line="480" w:lineRule="auto"/>
        <w:jc w:val="center"/>
        <w:rPr>
          <w:rFonts w:ascii="Times New Roman" w:hAnsi="Times New Roman" w:cs="Times New Roman"/>
          <w:sz w:val="24"/>
          <w:szCs w:val="24"/>
        </w:rPr>
      </w:pPr>
      <w:r>
        <w:rPr>
          <w:rFonts w:ascii="Times New Roman" w:hAnsi="Times New Roman" w:cs="Times New Roman"/>
          <w:sz w:val="24"/>
          <w:szCs w:val="24"/>
        </w:rPr>
        <w:t>María Fernanda A</w:t>
      </w:r>
      <w:r w:rsidR="00B82D99">
        <w:rPr>
          <w:rFonts w:ascii="Times New Roman" w:hAnsi="Times New Roman" w:cs="Times New Roman"/>
          <w:sz w:val="24"/>
          <w:szCs w:val="24"/>
        </w:rPr>
        <w:t xml:space="preserve">naya </w:t>
      </w:r>
      <w:r>
        <w:rPr>
          <w:rFonts w:ascii="Times New Roman" w:hAnsi="Times New Roman" w:cs="Times New Roman"/>
          <w:sz w:val="24"/>
          <w:szCs w:val="24"/>
        </w:rPr>
        <w:t xml:space="preserve"> Sampayo.</w:t>
      </w:r>
    </w:p>
    <w:p w14:paraId="585D658A" w14:textId="77777777" w:rsidR="00BE6C2A" w:rsidRPr="00BE6C2A" w:rsidRDefault="00BE6C2A" w:rsidP="00BE6C2A">
      <w:pPr>
        <w:spacing w:line="480" w:lineRule="auto"/>
        <w:jc w:val="center"/>
        <w:rPr>
          <w:rFonts w:ascii="Times New Roman" w:hAnsi="Times New Roman" w:cs="Times New Roman"/>
          <w:sz w:val="24"/>
          <w:szCs w:val="24"/>
        </w:rPr>
      </w:pPr>
    </w:p>
    <w:p w14:paraId="22074658" w14:textId="77777777" w:rsidR="00BE6C2A" w:rsidRPr="00BE6C2A" w:rsidRDefault="00BE6C2A" w:rsidP="00BE6C2A">
      <w:pPr>
        <w:spacing w:line="480" w:lineRule="auto"/>
        <w:jc w:val="center"/>
        <w:rPr>
          <w:rFonts w:ascii="Times New Roman" w:hAnsi="Times New Roman" w:cs="Times New Roman"/>
          <w:sz w:val="24"/>
          <w:szCs w:val="24"/>
        </w:rPr>
      </w:pPr>
    </w:p>
    <w:p w14:paraId="1EC8CF7D" w14:textId="77777777" w:rsidR="00BE6C2A" w:rsidRPr="00BE6C2A" w:rsidRDefault="00BE6C2A" w:rsidP="00BE6C2A">
      <w:pPr>
        <w:spacing w:line="480" w:lineRule="auto"/>
        <w:jc w:val="center"/>
        <w:rPr>
          <w:rFonts w:ascii="Times New Roman" w:hAnsi="Times New Roman" w:cs="Times New Roman"/>
          <w:sz w:val="24"/>
          <w:szCs w:val="24"/>
        </w:rPr>
      </w:pPr>
    </w:p>
    <w:p w14:paraId="00CC8C37" w14:textId="77777777" w:rsidR="00BE6C2A" w:rsidRPr="00BE6C2A" w:rsidRDefault="00BE6C2A" w:rsidP="00BE6C2A">
      <w:pPr>
        <w:spacing w:line="480" w:lineRule="auto"/>
        <w:jc w:val="center"/>
        <w:rPr>
          <w:rFonts w:ascii="Times New Roman" w:hAnsi="Times New Roman" w:cs="Times New Roman"/>
          <w:sz w:val="24"/>
          <w:szCs w:val="24"/>
        </w:rPr>
      </w:pPr>
    </w:p>
    <w:p w14:paraId="23790A12" w14:textId="77777777" w:rsidR="00BE6C2A" w:rsidRPr="00BE6C2A" w:rsidRDefault="00BE6C2A" w:rsidP="00BE6C2A">
      <w:pPr>
        <w:spacing w:line="480" w:lineRule="auto"/>
        <w:jc w:val="center"/>
        <w:rPr>
          <w:rFonts w:ascii="Times New Roman" w:hAnsi="Times New Roman" w:cs="Times New Roman"/>
          <w:sz w:val="24"/>
          <w:szCs w:val="24"/>
        </w:rPr>
      </w:pPr>
    </w:p>
    <w:p w14:paraId="66EEFF35" w14:textId="3839C31E" w:rsidR="00BE6C2A" w:rsidRPr="00BE6C2A" w:rsidRDefault="00631953" w:rsidP="00BE6C2A">
      <w:pPr>
        <w:spacing w:line="480" w:lineRule="auto"/>
        <w:jc w:val="center"/>
        <w:rPr>
          <w:rFonts w:ascii="Times New Roman" w:hAnsi="Times New Roman" w:cs="Times New Roman"/>
          <w:sz w:val="24"/>
          <w:szCs w:val="24"/>
        </w:rPr>
      </w:pPr>
      <w:r>
        <w:rPr>
          <w:rFonts w:ascii="Times New Roman" w:hAnsi="Times New Roman" w:cs="Times New Roman"/>
          <w:sz w:val="24"/>
          <w:szCs w:val="24"/>
        </w:rPr>
        <w:t>Universidad Autónoma Del Caribe</w:t>
      </w:r>
    </w:p>
    <w:p w14:paraId="16A1D256" w14:textId="6A3DDE33" w:rsidR="00BE6C2A" w:rsidRPr="00BE6C2A" w:rsidRDefault="00631953" w:rsidP="00BE6C2A">
      <w:pPr>
        <w:spacing w:line="480" w:lineRule="auto"/>
        <w:jc w:val="center"/>
        <w:rPr>
          <w:rFonts w:ascii="Times New Roman" w:hAnsi="Times New Roman" w:cs="Times New Roman"/>
          <w:sz w:val="24"/>
          <w:szCs w:val="24"/>
        </w:rPr>
      </w:pPr>
      <w:r>
        <w:rPr>
          <w:rFonts w:ascii="Times New Roman" w:hAnsi="Times New Roman" w:cs="Times New Roman"/>
          <w:sz w:val="24"/>
          <w:szCs w:val="24"/>
        </w:rPr>
        <w:t>Facultad de Jurisprudencias.</w:t>
      </w:r>
    </w:p>
    <w:p w14:paraId="13346E77" w14:textId="400F0CFE" w:rsidR="00BE6C2A" w:rsidRPr="00631953" w:rsidRDefault="00631953" w:rsidP="00BE6C2A">
      <w:pPr>
        <w:spacing w:line="480" w:lineRule="auto"/>
        <w:jc w:val="center"/>
        <w:rPr>
          <w:rFonts w:ascii="Times New Roman" w:hAnsi="Times New Roman" w:cs="Times New Roman"/>
          <w:sz w:val="24"/>
          <w:szCs w:val="24"/>
          <w:lang w:val="pt-BR"/>
        </w:rPr>
      </w:pPr>
      <w:r w:rsidRPr="00631953">
        <w:rPr>
          <w:rFonts w:ascii="Times New Roman" w:hAnsi="Times New Roman" w:cs="Times New Roman"/>
          <w:sz w:val="24"/>
          <w:szCs w:val="24"/>
          <w:lang w:val="pt-BR"/>
        </w:rPr>
        <w:t>Programa de Derecho.</w:t>
      </w:r>
    </w:p>
    <w:p w14:paraId="2BC4ACEB" w14:textId="5EEEE7F9" w:rsidR="00BE6C2A" w:rsidRPr="00631953" w:rsidRDefault="00631953" w:rsidP="00BE6C2A">
      <w:pPr>
        <w:spacing w:line="480" w:lineRule="auto"/>
        <w:jc w:val="center"/>
        <w:rPr>
          <w:rFonts w:ascii="Times New Roman" w:hAnsi="Times New Roman" w:cs="Times New Roman"/>
          <w:sz w:val="24"/>
          <w:szCs w:val="24"/>
          <w:lang w:val="pt-BR"/>
        </w:rPr>
      </w:pPr>
      <w:r w:rsidRPr="00631953">
        <w:rPr>
          <w:rFonts w:ascii="Times New Roman" w:hAnsi="Times New Roman" w:cs="Times New Roman"/>
          <w:sz w:val="24"/>
          <w:szCs w:val="24"/>
          <w:lang w:val="pt-BR"/>
        </w:rPr>
        <w:t>Centro de I</w:t>
      </w:r>
      <w:r>
        <w:rPr>
          <w:rFonts w:ascii="Times New Roman" w:hAnsi="Times New Roman" w:cs="Times New Roman"/>
          <w:sz w:val="24"/>
          <w:szCs w:val="24"/>
          <w:lang w:val="pt-BR"/>
        </w:rPr>
        <w:t>nvestigaciones.</w:t>
      </w:r>
    </w:p>
    <w:p w14:paraId="789FE1EA" w14:textId="2C550FE5"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202</w:t>
      </w:r>
      <w:r w:rsidR="00631953">
        <w:rPr>
          <w:rFonts w:ascii="Times New Roman" w:hAnsi="Times New Roman" w:cs="Times New Roman"/>
          <w:sz w:val="24"/>
          <w:szCs w:val="24"/>
        </w:rPr>
        <w:t>5.</w:t>
      </w:r>
    </w:p>
    <w:p w14:paraId="419E7627" w14:textId="77777777" w:rsidR="00BE6C2A" w:rsidRDefault="00BE6C2A" w:rsidP="00BE6C2A">
      <w:pPr>
        <w:spacing w:line="480" w:lineRule="auto"/>
        <w:jc w:val="center"/>
        <w:rPr>
          <w:rFonts w:ascii="Times New Roman" w:hAnsi="Times New Roman" w:cs="Times New Roman"/>
          <w:b/>
          <w:bCs/>
          <w:sz w:val="24"/>
          <w:szCs w:val="24"/>
        </w:rPr>
      </w:pPr>
    </w:p>
    <w:p w14:paraId="05A1D535" w14:textId="77777777" w:rsidR="00785073" w:rsidRPr="00B45B41" w:rsidRDefault="00785073" w:rsidP="00BE6C2A">
      <w:pPr>
        <w:spacing w:line="480" w:lineRule="auto"/>
        <w:jc w:val="center"/>
        <w:rPr>
          <w:rFonts w:ascii="Times New Roman" w:hAnsi="Times New Roman" w:cs="Times New Roman"/>
          <w:b/>
          <w:bCs/>
          <w:sz w:val="24"/>
          <w:szCs w:val="24"/>
        </w:rPr>
      </w:pPr>
    </w:p>
    <w:p w14:paraId="2C7D1218" w14:textId="77777777" w:rsidR="00785073" w:rsidRDefault="00785073" w:rsidP="00785073">
      <w:pPr>
        <w:spacing w:line="480" w:lineRule="auto"/>
        <w:jc w:val="center"/>
        <w:rPr>
          <w:rFonts w:ascii="Times New Roman" w:hAnsi="Times New Roman" w:cs="Times New Roman"/>
          <w:b/>
          <w:bCs/>
          <w:sz w:val="24"/>
          <w:szCs w:val="24"/>
        </w:rPr>
      </w:pPr>
      <w:r w:rsidRPr="00B45B41">
        <w:rPr>
          <w:rFonts w:ascii="Times New Roman" w:hAnsi="Times New Roman" w:cs="Times New Roman"/>
          <w:b/>
          <w:bCs/>
          <w:sz w:val="24"/>
          <w:szCs w:val="24"/>
        </w:rPr>
        <w:lastRenderedPageBreak/>
        <w:t>A</w:t>
      </w:r>
      <w:r>
        <w:rPr>
          <w:rFonts w:ascii="Times New Roman" w:hAnsi="Times New Roman" w:cs="Times New Roman"/>
          <w:b/>
          <w:bCs/>
          <w:sz w:val="24"/>
          <w:szCs w:val="24"/>
        </w:rPr>
        <w:t>nálisis</w:t>
      </w:r>
      <w:r w:rsidRPr="00B45B41">
        <w:rPr>
          <w:rFonts w:ascii="Times New Roman" w:hAnsi="Times New Roman" w:cs="Times New Roman"/>
          <w:b/>
          <w:bCs/>
          <w:sz w:val="24"/>
          <w:szCs w:val="24"/>
        </w:rPr>
        <w:t xml:space="preserve"> </w:t>
      </w:r>
      <w:r>
        <w:rPr>
          <w:rFonts w:ascii="Times New Roman" w:hAnsi="Times New Roman" w:cs="Times New Roman"/>
          <w:b/>
          <w:bCs/>
          <w:sz w:val="24"/>
          <w:szCs w:val="24"/>
        </w:rPr>
        <w:t>del Feminicidio en</w:t>
      </w:r>
      <w:r w:rsidRPr="00B45B41">
        <w:rPr>
          <w:rFonts w:ascii="Times New Roman" w:hAnsi="Times New Roman" w:cs="Times New Roman"/>
          <w:b/>
          <w:bCs/>
          <w:sz w:val="24"/>
          <w:szCs w:val="24"/>
        </w:rPr>
        <w:t xml:space="preserve"> B</w:t>
      </w:r>
      <w:r>
        <w:rPr>
          <w:rFonts w:ascii="Times New Roman" w:hAnsi="Times New Roman" w:cs="Times New Roman"/>
          <w:b/>
          <w:bCs/>
          <w:sz w:val="24"/>
          <w:szCs w:val="24"/>
        </w:rPr>
        <w:t>arranquilla y</w:t>
      </w:r>
      <w:r w:rsidRPr="00B45B41">
        <w:rPr>
          <w:rFonts w:ascii="Times New Roman" w:hAnsi="Times New Roman" w:cs="Times New Roman"/>
          <w:b/>
          <w:bCs/>
          <w:sz w:val="24"/>
          <w:szCs w:val="24"/>
        </w:rPr>
        <w:t xml:space="preserve"> </w:t>
      </w:r>
      <w:r>
        <w:rPr>
          <w:rFonts w:ascii="Times New Roman" w:hAnsi="Times New Roman" w:cs="Times New Roman"/>
          <w:b/>
          <w:bCs/>
          <w:sz w:val="24"/>
          <w:szCs w:val="24"/>
        </w:rPr>
        <w:t>su</w:t>
      </w:r>
      <w:r w:rsidRPr="00B45B41">
        <w:rPr>
          <w:rFonts w:ascii="Times New Roman" w:hAnsi="Times New Roman" w:cs="Times New Roman"/>
          <w:b/>
          <w:bCs/>
          <w:sz w:val="24"/>
          <w:szCs w:val="24"/>
        </w:rPr>
        <w:t xml:space="preserve"> Á</w:t>
      </w:r>
      <w:r>
        <w:rPr>
          <w:rFonts w:ascii="Times New Roman" w:hAnsi="Times New Roman" w:cs="Times New Roman"/>
          <w:b/>
          <w:bCs/>
          <w:sz w:val="24"/>
          <w:szCs w:val="24"/>
        </w:rPr>
        <w:t>rea</w:t>
      </w:r>
      <w:r w:rsidRPr="00B45B41">
        <w:rPr>
          <w:rFonts w:ascii="Times New Roman" w:hAnsi="Times New Roman" w:cs="Times New Roman"/>
          <w:b/>
          <w:bCs/>
          <w:sz w:val="24"/>
          <w:szCs w:val="24"/>
        </w:rPr>
        <w:t xml:space="preserve"> M</w:t>
      </w:r>
      <w:r>
        <w:rPr>
          <w:rFonts w:ascii="Times New Roman" w:hAnsi="Times New Roman" w:cs="Times New Roman"/>
          <w:b/>
          <w:bCs/>
          <w:sz w:val="24"/>
          <w:szCs w:val="24"/>
        </w:rPr>
        <w:t xml:space="preserve">etropolitana </w:t>
      </w:r>
      <w:r w:rsidRPr="00B45B41">
        <w:rPr>
          <w:rFonts w:ascii="Times New Roman" w:hAnsi="Times New Roman" w:cs="Times New Roman"/>
          <w:b/>
          <w:bCs/>
          <w:sz w:val="24"/>
          <w:szCs w:val="24"/>
        </w:rPr>
        <w:t>D</w:t>
      </w:r>
      <w:r>
        <w:rPr>
          <w:rFonts w:ascii="Times New Roman" w:hAnsi="Times New Roman" w:cs="Times New Roman"/>
          <w:b/>
          <w:bCs/>
          <w:sz w:val="24"/>
          <w:szCs w:val="24"/>
        </w:rPr>
        <w:t>esde</w:t>
      </w:r>
      <w:r w:rsidRPr="00B45B41">
        <w:rPr>
          <w:rFonts w:ascii="Times New Roman" w:hAnsi="Times New Roman" w:cs="Times New Roman"/>
          <w:b/>
          <w:bCs/>
          <w:sz w:val="24"/>
          <w:szCs w:val="24"/>
        </w:rPr>
        <w:t xml:space="preserve"> </w:t>
      </w:r>
      <w:r>
        <w:rPr>
          <w:rFonts w:ascii="Times New Roman" w:hAnsi="Times New Roman" w:cs="Times New Roman"/>
          <w:b/>
          <w:bCs/>
          <w:sz w:val="24"/>
          <w:szCs w:val="24"/>
        </w:rPr>
        <w:t>el</w:t>
      </w:r>
      <w:r w:rsidRPr="00B45B41">
        <w:rPr>
          <w:rFonts w:ascii="Times New Roman" w:hAnsi="Times New Roman" w:cs="Times New Roman"/>
          <w:b/>
          <w:bCs/>
          <w:sz w:val="24"/>
          <w:szCs w:val="24"/>
        </w:rPr>
        <w:t xml:space="preserve"> 2020 </w:t>
      </w:r>
      <w:r>
        <w:rPr>
          <w:rFonts w:ascii="Times New Roman" w:hAnsi="Times New Roman" w:cs="Times New Roman"/>
          <w:b/>
          <w:bCs/>
          <w:sz w:val="24"/>
          <w:szCs w:val="24"/>
        </w:rPr>
        <w:t xml:space="preserve">al </w:t>
      </w:r>
      <w:r w:rsidRPr="00B45B41">
        <w:rPr>
          <w:rFonts w:ascii="Times New Roman" w:hAnsi="Times New Roman" w:cs="Times New Roman"/>
          <w:b/>
          <w:bCs/>
          <w:sz w:val="24"/>
          <w:szCs w:val="24"/>
        </w:rPr>
        <w:t>2024.</w:t>
      </w:r>
    </w:p>
    <w:p w14:paraId="2695680E" w14:textId="77777777" w:rsidR="00BE6C2A" w:rsidRDefault="00BE6C2A" w:rsidP="00BE6C2A">
      <w:pPr>
        <w:spacing w:line="480" w:lineRule="auto"/>
        <w:jc w:val="center"/>
        <w:rPr>
          <w:rFonts w:ascii="Times New Roman" w:hAnsi="Times New Roman" w:cs="Times New Roman"/>
          <w:b/>
          <w:bCs/>
          <w:sz w:val="24"/>
          <w:szCs w:val="24"/>
        </w:rPr>
      </w:pPr>
    </w:p>
    <w:p w14:paraId="4CC59EE7" w14:textId="77777777" w:rsidR="00BE6C2A" w:rsidRDefault="00BE6C2A" w:rsidP="00BE6C2A">
      <w:pPr>
        <w:spacing w:line="480" w:lineRule="auto"/>
        <w:jc w:val="center"/>
        <w:rPr>
          <w:rFonts w:ascii="Times New Roman" w:hAnsi="Times New Roman" w:cs="Times New Roman"/>
          <w:b/>
          <w:bCs/>
          <w:sz w:val="24"/>
          <w:szCs w:val="24"/>
        </w:rPr>
      </w:pPr>
    </w:p>
    <w:p w14:paraId="546DD823" w14:textId="77777777" w:rsidR="00BE6C2A" w:rsidRDefault="00BE6C2A" w:rsidP="00BE6C2A">
      <w:pPr>
        <w:spacing w:line="480" w:lineRule="auto"/>
        <w:jc w:val="center"/>
        <w:rPr>
          <w:rFonts w:ascii="Times New Roman" w:hAnsi="Times New Roman" w:cs="Times New Roman"/>
          <w:b/>
          <w:bCs/>
          <w:sz w:val="24"/>
          <w:szCs w:val="24"/>
        </w:rPr>
      </w:pPr>
    </w:p>
    <w:p w14:paraId="150996DA" w14:textId="77777777" w:rsidR="00BE6C2A" w:rsidRPr="00BE6C2A" w:rsidRDefault="00BE6C2A" w:rsidP="00BE6C2A">
      <w:pPr>
        <w:spacing w:line="480" w:lineRule="auto"/>
        <w:jc w:val="center"/>
        <w:rPr>
          <w:rFonts w:ascii="Times New Roman" w:hAnsi="Times New Roman" w:cs="Times New Roman"/>
          <w:sz w:val="24"/>
          <w:szCs w:val="24"/>
        </w:rPr>
      </w:pPr>
    </w:p>
    <w:p w14:paraId="2BECDE65" w14:textId="40FB31F7"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MARÍA FERNANDA A</w:t>
      </w:r>
      <w:r w:rsidR="00B82D99">
        <w:rPr>
          <w:rFonts w:ascii="Times New Roman" w:hAnsi="Times New Roman" w:cs="Times New Roman"/>
          <w:sz w:val="24"/>
          <w:szCs w:val="24"/>
        </w:rPr>
        <w:t xml:space="preserve">NAYA </w:t>
      </w:r>
      <w:r w:rsidRPr="00BE6C2A">
        <w:rPr>
          <w:rFonts w:ascii="Times New Roman" w:hAnsi="Times New Roman" w:cs="Times New Roman"/>
          <w:sz w:val="24"/>
          <w:szCs w:val="24"/>
        </w:rPr>
        <w:t xml:space="preserve"> SAMPAYO </w:t>
      </w:r>
    </w:p>
    <w:p w14:paraId="391CA12F" w14:textId="3CFC6266" w:rsidR="00BE6C2A" w:rsidRDefault="00BE6C2A" w:rsidP="00BE6C2A">
      <w:pPr>
        <w:spacing w:line="480" w:lineRule="auto"/>
        <w:jc w:val="center"/>
        <w:rPr>
          <w:rFonts w:ascii="Times New Roman" w:hAnsi="Times New Roman" w:cs="Times New Roman"/>
          <w:sz w:val="24"/>
          <w:szCs w:val="24"/>
        </w:rPr>
      </w:pPr>
      <w:r>
        <w:rPr>
          <w:rFonts w:ascii="Times New Roman" w:hAnsi="Times New Roman" w:cs="Times New Roman"/>
          <w:sz w:val="24"/>
          <w:szCs w:val="24"/>
        </w:rPr>
        <w:t>MONOGRAFÍA DE GRADO PARA OPTAR POR EL TÍTULO DE ABOGADA.</w:t>
      </w:r>
    </w:p>
    <w:p w14:paraId="162C2A66" w14:textId="77777777" w:rsidR="00BE6C2A" w:rsidRPr="00BE6C2A" w:rsidRDefault="00BE6C2A" w:rsidP="00BE6C2A">
      <w:pPr>
        <w:spacing w:line="480" w:lineRule="auto"/>
        <w:jc w:val="center"/>
        <w:rPr>
          <w:rFonts w:ascii="Times New Roman" w:hAnsi="Times New Roman" w:cs="Times New Roman"/>
          <w:sz w:val="24"/>
          <w:szCs w:val="24"/>
        </w:rPr>
      </w:pPr>
    </w:p>
    <w:p w14:paraId="1A604F69" w14:textId="77777777" w:rsidR="00BE6C2A" w:rsidRPr="00BE6C2A" w:rsidRDefault="00BE6C2A" w:rsidP="00BE6C2A">
      <w:pPr>
        <w:spacing w:line="480" w:lineRule="auto"/>
        <w:jc w:val="center"/>
        <w:rPr>
          <w:rFonts w:ascii="Times New Roman" w:hAnsi="Times New Roman" w:cs="Times New Roman"/>
          <w:sz w:val="24"/>
          <w:szCs w:val="24"/>
        </w:rPr>
      </w:pPr>
    </w:p>
    <w:p w14:paraId="7BD31F9F" w14:textId="77777777" w:rsidR="00BE6C2A" w:rsidRPr="00BE6C2A" w:rsidRDefault="00BE6C2A" w:rsidP="00BE6C2A">
      <w:pPr>
        <w:spacing w:line="480" w:lineRule="auto"/>
        <w:jc w:val="center"/>
        <w:rPr>
          <w:rFonts w:ascii="Times New Roman" w:hAnsi="Times New Roman" w:cs="Times New Roman"/>
          <w:sz w:val="24"/>
          <w:szCs w:val="24"/>
        </w:rPr>
      </w:pPr>
    </w:p>
    <w:p w14:paraId="6D71049B" w14:textId="77777777" w:rsidR="00BE6C2A" w:rsidRPr="00BE6C2A" w:rsidRDefault="00BE6C2A" w:rsidP="00BE6C2A">
      <w:pPr>
        <w:spacing w:line="480" w:lineRule="auto"/>
        <w:jc w:val="center"/>
        <w:rPr>
          <w:rFonts w:ascii="Times New Roman" w:hAnsi="Times New Roman" w:cs="Times New Roman"/>
          <w:sz w:val="24"/>
          <w:szCs w:val="24"/>
        </w:rPr>
      </w:pPr>
    </w:p>
    <w:p w14:paraId="23CA933D" w14:textId="77777777" w:rsidR="00BE6C2A" w:rsidRPr="00BE6C2A" w:rsidRDefault="00BE6C2A" w:rsidP="00BE6C2A">
      <w:pPr>
        <w:spacing w:line="480" w:lineRule="auto"/>
        <w:jc w:val="center"/>
        <w:rPr>
          <w:rFonts w:ascii="Times New Roman" w:hAnsi="Times New Roman" w:cs="Times New Roman"/>
          <w:sz w:val="24"/>
          <w:szCs w:val="24"/>
        </w:rPr>
      </w:pPr>
    </w:p>
    <w:p w14:paraId="2D7F586A" w14:textId="77777777"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UNIVERSIDAD AUTÓNOMA DEL CARIBE</w:t>
      </w:r>
    </w:p>
    <w:p w14:paraId="096F9867" w14:textId="77777777"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FACULTAD DE JURISPRUDENCIAS</w:t>
      </w:r>
    </w:p>
    <w:p w14:paraId="19365C3F" w14:textId="77777777"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PROGRAMA DE DERECHO</w:t>
      </w:r>
    </w:p>
    <w:p w14:paraId="557D9289" w14:textId="77777777" w:rsidR="00BE6C2A" w:rsidRP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CENTRO DE INVESTIGACIONES</w:t>
      </w:r>
    </w:p>
    <w:p w14:paraId="4D6B6DB5" w14:textId="77777777" w:rsid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2024.</w:t>
      </w:r>
    </w:p>
    <w:p w14:paraId="29196E34" w14:textId="77777777" w:rsidR="001B0068" w:rsidRDefault="001B0068" w:rsidP="00BE6C2A">
      <w:pPr>
        <w:spacing w:line="480" w:lineRule="auto"/>
        <w:jc w:val="center"/>
        <w:rPr>
          <w:rFonts w:ascii="Times New Roman" w:hAnsi="Times New Roman" w:cs="Times New Roman"/>
          <w:b/>
          <w:bCs/>
          <w:sz w:val="24"/>
          <w:szCs w:val="24"/>
        </w:rPr>
      </w:pPr>
    </w:p>
    <w:p w14:paraId="515FD5C6" w14:textId="676B70D3" w:rsidR="00BE6C2A" w:rsidRPr="00BE6C2A" w:rsidRDefault="00BE6C2A" w:rsidP="00BE6C2A">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D</w:t>
      </w:r>
      <w:r w:rsidR="00785073">
        <w:rPr>
          <w:rFonts w:ascii="Times New Roman" w:hAnsi="Times New Roman" w:cs="Times New Roman"/>
          <w:b/>
          <w:bCs/>
          <w:sz w:val="24"/>
          <w:szCs w:val="24"/>
        </w:rPr>
        <w:t>edicatoria y Agradecimientos</w:t>
      </w:r>
    </w:p>
    <w:p w14:paraId="71E23775" w14:textId="6856B559" w:rsid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Dedico este logro a mi familia, que ha sido mi mayor pilar a lo largo de este camino. A mis padres, por su amor incondicional y por enseñarme que el esfuerzo y la perseverancia siempre tienen recompensas. A mis amigos, por su apoyo constante y palabras de ánimo cuando más lo necesitaba. Este título es también para quienes, de una forma u otra, creyeron en mí y me impulsaron a seguir adelante.</w:t>
      </w:r>
    </w:p>
    <w:p w14:paraId="32193EC6" w14:textId="095F5600" w:rsidR="00BE6C2A" w:rsidRDefault="00BE6C2A" w:rsidP="00BE6C2A">
      <w:pPr>
        <w:spacing w:line="480" w:lineRule="auto"/>
        <w:jc w:val="center"/>
        <w:rPr>
          <w:rFonts w:ascii="Times New Roman" w:hAnsi="Times New Roman" w:cs="Times New Roman"/>
          <w:sz w:val="24"/>
          <w:szCs w:val="24"/>
        </w:rPr>
      </w:pPr>
      <w:r w:rsidRPr="00BE6C2A">
        <w:rPr>
          <w:rFonts w:ascii="Times New Roman" w:hAnsi="Times New Roman" w:cs="Times New Roman"/>
          <w:sz w:val="24"/>
          <w:szCs w:val="24"/>
        </w:rPr>
        <w:t>Agradezco, en primer lugar, a Dios, por darme la fuerza y la sabiduría necesarias para enfrentar cada desafío. A mis profesores, quienes no solo compartieron su conocimiento, sino que también inspiraron mi vocación por la justicia. A mi familia, por su comprensión y sacrificios, especialmente en los momentos difíciles. A mis colegas y amigos, por ser compañeros de batalla y fuente de motivación en este viaje. Finalmente, a mí misma, por no rendirme y mantenerme firme en mis sueños, incluso cuando el camino parecía más complicado.</w:t>
      </w:r>
    </w:p>
    <w:p w14:paraId="0D0853CD" w14:textId="77777777" w:rsidR="00BE6C2A" w:rsidRDefault="00BE6C2A" w:rsidP="00BE6C2A">
      <w:pPr>
        <w:spacing w:line="480" w:lineRule="auto"/>
        <w:jc w:val="center"/>
        <w:rPr>
          <w:rFonts w:ascii="Times New Roman" w:hAnsi="Times New Roman" w:cs="Times New Roman"/>
          <w:sz w:val="24"/>
          <w:szCs w:val="24"/>
        </w:rPr>
      </w:pPr>
    </w:p>
    <w:p w14:paraId="3AF996D2" w14:textId="77777777" w:rsidR="00BE6C2A" w:rsidRDefault="00BE6C2A" w:rsidP="00BE6C2A">
      <w:pPr>
        <w:spacing w:line="480" w:lineRule="auto"/>
        <w:jc w:val="center"/>
        <w:rPr>
          <w:rFonts w:ascii="Times New Roman" w:hAnsi="Times New Roman" w:cs="Times New Roman"/>
          <w:sz w:val="24"/>
          <w:szCs w:val="24"/>
        </w:rPr>
      </w:pPr>
    </w:p>
    <w:p w14:paraId="06B69A13" w14:textId="77777777" w:rsidR="00BE6C2A" w:rsidRDefault="00BE6C2A" w:rsidP="00BE6C2A">
      <w:pPr>
        <w:spacing w:line="480" w:lineRule="auto"/>
        <w:jc w:val="center"/>
        <w:rPr>
          <w:rFonts w:ascii="Times New Roman" w:hAnsi="Times New Roman" w:cs="Times New Roman"/>
          <w:sz w:val="24"/>
          <w:szCs w:val="24"/>
        </w:rPr>
      </w:pPr>
    </w:p>
    <w:p w14:paraId="38FC0806" w14:textId="77777777" w:rsidR="00BE6C2A" w:rsidRDefault="00BE6C2A" w:rsidP="00BE6C2A">
      <w:pPr>
        <w:spacing w:line="480" w:lineRule="auto"/>
        <w:jc w:val="center"/>
        <w:rPr>
          <w:rFonts w:ascii="Times New Roman" w:hAnsi="Times New Roman" w:cs="Times New Roman"/>
          <w:sz w:val="24"/>
          <w:szCs w:val="24"/>
        </w:rPr>
      </w:pPr>
    </w:p>
    <w:p w14:paraId="40BE4058" w14:textId="77777777" w:rsidR="00BE6C2A" w:rsidRDefault="00BE6C2A" w:rsidP="00BE6C2A">
      <w:pPr>
        <w:spacing w:line="480" w:lineRule="auto"/>
        <w:jc w:val="center"/>
        <w:rPr>
          <w:rFonts w:ascii="Times New Roman" w:hAnsi="Times New Roman" w:cs="Times New Roman"/>
          <w:sz w:val="24"/>
          <w:szCs w:val="24"/>
        </w:rPr>
      </w:pPr>
    </w:p>
    <w:p w14:paraId="59C2D0F3" w14:textId="77777777" w:rsidR="00BE6C2A" w:rsidRPr="00BE6C2A" w:rsidRDefault="00BE6C2A" w:rsidP="00BE6C2A">
      <w:pPr>
        <w:spacing w:line="480" w:lineRule="auto"/>
        <w:jc w:val="center"/>
        <w:rPr>
          <w:rFonts w:ascii="Times New Roman" w:hAnsi="Times New Roman" w:cs="Times New Roman"/>
          <w:sz w:val="24"/>
          <w:szCs w:val="24"/>
        </w:rPr>
      </w:pPr>
    </w:p>
    <w:p w14:paraId="6B8A0190" w14:textId="77777777" w:rsidR="001B0068" w:rsidRDefault="001B0068" w:rsidP="001B0068">
      <w:pPr>
        <w:spacing w:line="480" w:lineRule="auto"/>
        <w:jc w:val="center"/>
        <w:rPr>
          <w:rFonts w:ascii="Times New Roman" w:hAnsi="Times New Roman" w:cs="Times New Roman"/>
          <w:b/>
          <w:bCs/>
          <w:sz w:val="24"/>
          <w:szCs w:val="24"/>
        </w:rPr>
      </w:pPr>
    </w:p>
    <w:p w14:paraId="1BBB5150" w14:textId="77777777" w:rsidR="001B0068" w:rsidRDefault="001B0068" w:rsidP="001B0068">
      <w:pPr>
        <w:spacing w:line="480" w:lineRule="auto"/>
        <w:jc w:val="center"/>
        <w:rPr>
          <w:rFonts w:ascii="Times New Roman" w:hAnsi="Times New Roman" w:cs="Times New Roman"/>
          <w:b/>
          <w:bCs/>
          <w:sz w:val="24"/>
          <w:szCs w:val="24"/>
        </w:rPr>
      </w:pPr>
    </w:p>
    <w:p w14:paraId="4246EF3C" w14:textId="4FF3656E" w:rsidR="001B0068" w:rsidRDefault="001B0068" w:rsidP="001B0068">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w:t>
      </w:r>
      <w:r w:rsidR="00785073">
        <w:rPr>
          <w:rFonts w:ascii="Times New Roman" w:hAnsi="Times New Roman" w:cs="Times New Roman"/>
          <w:b/>
          <w:bCs/>
          <w:sz w:val="24"/>
          <w:szCs w:val="24"/>
        </w:rPr>
        <w:t>esumen</w:t>
      </w:r>
    </w:p>
    <w:p w14:paraId="53D9C45C" w14:textId="6E2CA871" w:rsidR="001B0068" w:rsidRPr="001B0068" w:rsidRDefault="001B0068" w:rsidP="001B0068">
      <w:pPr>
        <w:spacing w:line="480" w:lineRule="auto"/>
        <w:ind w:firstLine="720"/>
        <w:jc w:val="both"/>
        <w:rPr>
          <w:rFonts w:ascii="Times New Roman" w:hAnsi="Times New Roman" w:cs="Times New Roman"/>
          <w:sz w:val="24"/>
          <w:szCs w:val="24"/>
        </w:rPr>
      </w:pPr>
      <w:r w:rsidRPr="001B0068">
        <w:rPr>
          <w:rFonts w:ascii="Times New Roman" w:hAnsi="Times New Roman" w:cs="Times New Roman"/>
          <w:sz w:val="24"/>
          <w:szCs w:val="24"/>
        </w:rPr>
        <w:t>El presente trabajo realiza un análisis exhaustivo sobre el feminicidio en Barranquilla y su área metropolitana durante el periodo comprendido entre 2020 y 2024. Este fenómeno, entendido como la expresión más extrema de la violencia de género, ha mostrado un incremento significativo en esta región, reflejando dinámicas complejas de desigualdad, machismo estructural y fallas en los sistemas de prevención y protección. La investigación aborda las características sociodemográficas de las víctimas, los contextos y circunstancias que rodean estos crímenes, y la efectividad de las respuestas institucionales, tanto gubernamentales como no gubernamentales.</w:t>
      </w:r>
    </w:p>
    <w:p w14:paraId="644EE306" w14:textId="77777777" w:rsidR="001B0068" w:rsidRPr="001B0068" w:rsidRDefault="001B0068" w:rsidP="001B0068">
      <w:pPr>
        <w:spacing w:line="480" w:lineRule="auto"/>
        <w:ind w:firstLine="720"/>
        <w:jc w:val="both"/>
        <w:rPr>
          <w:rFonts w:ascii="Times New Roman" w:hAnsi="Times New Roman" w:cs="Times New Roman"/>
          <w:sz w:val="24"/>
          <w:szCs w:val="24"/>
        </w:rPr>
      </w:pPr>
      <w:r w:rsidRPr="001B0068">
        <w:rPr>
          <w:rFonts w:ascii="Times New Roman" w:hAnsi="Times New Roman" w:cs="Times New Roman"/>
          <w:sz w:val="24"/>
          <w:szCs w:val="24"/>
        </w:rPr>
        <w:t>Se adopta un enfoque interdisciplinario para comprender las raíces socioculturales del feminicidio, considerando teorías feministas, criminología feminista y estudios sobre violencia estructural. A través de un análisis de fuentes secundarias, incluyendo estadísticas oficiales, literatura académica y noticias, se identifican patrones y tendencias que explican cómo los factores socioeconómicos, las desigualdades de género y la urbanización inciden en la ocurrencia de feminicidios. Además, se evalúan las políticas públicas y su implementación, evidenciando las brechas que perpetúan la impunidad y la falta de protección efectiva para las mujeres en la región.</w:t>
      </w:r>
    </w:p>
    <w:p w14:paraId="57D3F850" w14:textId="2D1B7CFE" w:rsidR="001B0068" w:rsidRPr="001B0068" w:rsidRDefault="001B0068" w:rsidP="001B0068">
      <w:pPr>
        <w:spacing w:line="480" w:lineRule="auto"/>
        <w:ind w:firstLine="720"/>
        <w:jc w:val="both"/>
        <w:rPr>
          <w:rFonts w:ascii="Times New Roman" w:hAnsi="Times New Roman" w:cs="Times New Roman"/>
          <w:sz w:val="24"/>
          <w:szCs w:val="24"/>
        </w:rPr>
      </w:pPr>
      <w:r w:rsidRPr="001B0068">
        <w:rPr>
          <w:rFonts w:ascii="Times New Roman" w:hAnsi="Times New Roman" w:cs="Times New Roman"/>
          <w:sz w:val="24"/>
          <w:szCs w:val="24"/>
        </w:rPr>
        <w:t xml:space="preserve">Los resultados de este estudio ofrecen una perspectiva integral sobre el fenómeno del feminicidio en Barranquilla, subrayando la necesidad de diseñar estrategias más robustas y coordinadas que no solo aborden las manifestaciones inmediatas de esta violencia, sino también sus causas estructurales. De esta manera, se busca contribuir al desarrollo de un </w:t>
      </w:r>
      <w:r w:rsidR="00B76059">
        <w:rPr>
          <w:rFonts w:ascii="Times New Roman" w:hAnsi="Times New Roman" w:cs="Times New Roman"/>
          <w:sz w:val="24"/>
          <w:szCs w:val="24"/>
        </w:rPr>
        <w:t>dise</w:t>
      </w:r>
      <w:r w:rsidRPr="001B0068">
        <w:rPr>
          <w:rFonts w:ascii="Times New Roman" w:hAnsi="Times New Roman" w:cs="Times New Roman"/>
          <w:sz w:val="24"/>
          <w:szCs w:val="24"/>
        </w:rPr>
        <w:t xml:space="preserve"> más efectivo de políticas públicas y a la promoción de una sociedad equitativa y libre de violencia.</w:t>
      </w:r>
    </w:p>
    <w:p w14:paraId="0AC82BB9" w14:textId="77777777" w:rsidR="001B0068" w:rsidRDefault="001B0068" w:rsidP="001B0068">
      <w:pPr>
        <w:spacing w:line="480" w:lineRule="auto"/>
        <w:ind w:firstLine="720"/>
        <w:rPr>
          <w:rFonts w:ascii="Times New Roman" w:hAnsi="Times New Roman" w:cs="Times New Roman"/>
          <w:b/>
          <w:bCs/>
          <w:sz w:val="24"/>
          <w:szCs w:val="24"/>
        </w:rPr>
      </w:pPr>
      <w:r w:rsidRPr="001B0068">
        <w:rPr>
          <w:rFonts w:ascii="Times New Roman" w:hAnsi="Times New Roman" w:cs="Times New Roman"/>
          <w:b/>
          <w:bCs/>
          <w:i/>
          <w:iCs/>
          <w:sz w:val="24"/>
          <w:szCs w:val="24"/>
        </w:rPr>
        <w:t>Palabras clave</w:t>
      </w:r>
      <w:r>
        <w:rPr>
          <w:rFonts w:ascii="Times New Roman" w:hAnsi="Times New Roman" w:cs="Times New Roman"/>
          <w:b/>
          <w:bCs/>
          <w:i/>
          <w:iCs/>
          <w:sz w:val="24"/>
          <w:szCs w:val="24"/>
        </w:rPr>
        <w:t>s</w:t>
      </w:r>
      <w:r>
        <w:rPr>
          <w:rFonts w:ascii="Times New Roman" w:hAnsi="Times New Roman" w:cs="Times New Roman"/>
          <w:b/>
          <w:bCs/>
          <w:sz w:val="24"/>
          <w:szCs w:val="24"/>
        </w:rPr>
        <w:t xml:space="preserve">: </w:t>
      </w:r>
      <w:r w:rsidRPr="001B0068">
        <w:rPr>
          <w:rFonts w:ascii="Times New Roman" w:hAnsi="Times New Roman" w:cs="Times New Roman"/>
          <w:sz w:val="24"/>
          <w:szCs w:val="24"/>
        </w:rPr>
        <w:t>Feminicidio, violencia de género, Barranquilla, desigualdad de género, patriarcado, políticas públicas, derechos humanos, justicia penal, análisis sociocultural.</w:t>
      </w:r>
    </w:p>
    <w:p w14:paraId="3BF5560A" w14:textId="312293B6" w:rsidR="001B0068" w:rsidRPr="00631953" w:rsidRDefault="001B0068" w:rsidP="001B0068">
      <w:pPr>
        <w:spacing w:line="480" w:lineRule="auto"/>
        <w:ind w:firstLine="720"/>
        <w:jc w:val="center"/>
        <w:rPr>
          <w:rFonts w:ascii="Times New Roman" w:hAnsi="Times New Roman" w:cs="Times New Roman"/>
          <w:b/>
          <w:bCs/>
          <w:sz w:val="24"/>
          <w:szCs w:val="24"/>
        </w:rPr>
      </w:pPr>
      <w:r w:rsidRPr="00631953">
        <w:rPr>
          <w:rFonts w:ascii="Times New Roman" w:hAnsi="Times New Roman" w:cs="Times New Roman"/>
          <w:b/>
          <w:bCs/>
          <w:sz w:val="24"/>
          <w:szCs w:val="24"/>
        </w:rPr>
        <w:t>A</w:t>
      </w:r>
      <w:r w:rsidR="00785073" w:rsidRPr="00631953">
        <w:rPr>
          <w:rFonts w:ascii="Times New Roman" w:hAnsi="Times New Roman" w:cs="Times New Roman"/>
          <w:b/>
          <w:bCs/>
          <w:sz w:val="24"/>
          <w:szCs w:val="24"/>
        </w:rPr>
        <w:t>bstract</w:t>
      </w:r>
    </w:p>
    <w:p w14:paraId="4DF28FD4" w14:textId="030FFE6A" w:rsidR="001B0068" w:rsidRPr="001B0068" w:rsidRDefault="001B0068" w:rsidP="001B0068">
      <w:pPr>
        <w:spacing w:line="480" w:lineRule="auto"/>
        <w:ind w:firstLine="720"/>
        <w:jc w:val="both"/>
        <w:rPr>
          <w:rFonts w:ascii="Times New Roman" w:hAnsi="Times New Roman" w:cs="Times New Roman"/>
          <w:sz w:val="24"/>
          <w:szCs w:val="24"/>
          <w:lang w:val="en-US"/>
        </w:rPr>
      </w:pPr>
      <w:r w:rsidRPr="00631953">
        <w:rPr>
          <w:rFonts w:ascii="Times New Roman" w:hAnsi="Times New Roman" w:cs="Times New Roman"/>
          <w:sz w:val="24"/>
          <w:szCs w:val="24"/>
        </w:rPr>
        <w:t xml:space="preserve">This monograph presents an in-depth analysis of femicide in Barranquilla and its metropolitan area from 2020 to 2024. </w:t>
      </w:r>
      <w:r w:rsidRPr="001B0068">
        <w:rPr>
          <w:rFonts w:ascii="Times New Roman" w:hAnsi="Times New Roman" w:cs="Times New Roman"/>
          <w:sz w:val="24"/>
          <w:szCs w:val="24"/>
          <w:lang w:val="en-US"/>
        </w:rPr>
        <w:t xml:space="preserve">As the most extreme form of gender-based violence, femicide has significantly increased in this region, exposing complex dynamics of inequality, structural machismo, and failures in prevention and protection systems. The research examines the </w:t>
      </w:r>
      <w:r>
        <w:rPr>
          <w:rFonts w:ascii="Times New Roman" w:hAnsi="Times New Roman" w:cs="Times New Roman"/>
          <w:sz w:val="24"/>
          <w:szCs w:val="24"/>
          <w:lang w:val="en-US"/>
        </w:rPr>
        <w:t>socio-demographic</w:t>
      </w:r>
      <w:r w:rsidRPr="001B0068">
        <w:rPr>
          <w:rFonts w:ascii="Times New Roman" w:hAnsi="Times New Roman" w:cs="Times New Roman"/>
          <w:sz w:val="24"/>
          <w:szCs w:val="24"/>
          <w:lang w:val="en-US"/>
        </w:rPr>
        <w:t xml:space="preserve"> characteristics of victims, the contexts surrounding these crimes, and the effectiveness of institutional responses by governmental and non-governmental organizations.</w:t>
      </w:r>
    </w:p>
    <w:p w14:paraId="6D849BD1" w14:textId="77777777" w:rsidR="001B0068" w:rsidRPr="001B0068" w:rsidRDefault="001B0068" w:rsidP="001B0068">
      <w:pPr>
        <w:spacing w:line="480" w:lineRule="auto"/>
        <w:ind w:firstLine="720"/>
        <w:jc w:val="both"/>
        <w:rPr>
          <w:rFonts w:ascii="Times New Roman" w:hAnsi="Times New Roman" w:cs="Times New Roman"/>
          <w:sz w:val="24"/>
          <w:szCs w:val="24"/>
          <w:lang w:val="en-US"/>
        </w:rPr>
      </w:pPr>
      <w:r w:rsidRPr="001B0068">
        <w:rPr>
          <w:rFonts w:ascii="Times New Roman" w:hAnsi="Times New Roman" w:cs="Times New Roman"/>
          <w:sz w:val="24"/>
          <w:szCs w:val="24"/>
          <w:lang w:val="en-US"/>
        </w:rPr>
        <w:t>An interdisciplinary approach is used to explore the sociocultural roots of femicide, incorporating feminist theories, feminist criminology, and studies on structural violence. Through the analysis of secondary sources, including official statistics, academic literature, and news reports, patterns and trends are identified to explain how socioeconomic factors, gender inequalities, and urbanization influence the occurrence of femicide. Additionally, public policies and their implementation are evaluated, highlighting gaps that perpetuate impunity and inadequate protection for women in the region.</w:t>
      </w:r>
    </w:p>
    <w:p w14:paraId="135A9F08" w14:textId="4AF72BF3" w:rsidR="001B0068" w:rsidRPr="001B0068" w:rsidRDefault="001B0068" w:rsidP="001B0068">
      <w:pPr>
        <w:spacing w:line="480" w:lineRule="auto"/>
        <w:ind w:firstLine="720"/>
        <w:jc w:val="both"/>
        <w:rPr>
          <w:rFonts w:ascii="Times New Roman" w:hAnsi="Times New Roman" w:cs="Times New Roman"/>
          <w:sz w:val="24"/>
          <w:szCs w:val="24"/>
          <w:lang w:val="en-US"/>
        </w:rPr>
      </w:pPr>
      <w:r w:rsidRPr="001B0068">
        <w:rPr>
          <w:rFonts w:ascii="Times New Roman" w:hAnsi="Times New Roman" w:cs="Times New Roman"/>
          <w:sz w:val="24"/>
          <w:szCs w:val="24"/>
          <w:lang w:val="en-US"/>
        </w:rPr>
        <w:t xml:space="preserve">The findings of this study provide a comprehensive perspective on femicide in Barranquilla, emphasizing the need to design more robust and coordinated strategies to address not only the immediate manifestations of this violence but also its structural causes. This work aims to contribute to </w:t>
      </w:r>
      <w:r>
        <w:rPr>
          <w:rFonts w:ascii="Times New Roman" w:hAnsi="Times New Roman" w:cs="Times New Roman"/>
          <w:sz w:val="24"/>
          <w:szCs w:val="24"/>
          <w:lang w:val="en-US"/>
        </w:rPr>
        <w:t>developing a more effective public policy framework and promoting</w:t>
      </w:r>
      <w:r w:rsidRPr="001B0068">
        <w:rPr>
          <w:rFonts w:ascii="Times New Roman" w:hAnsi="Times New Roman" w:cs="Times New Roman"/>
          <w:sz w:val="24"/>
          <w:szCs w:val="24"/>
          <w:lang w:val="en-US"/>
        </w:rPr>
        <w:t xml:space="preserve"> an equitable and violence-free society.</w:t>
      </w:r>
    </w:p>
    <w:p w14:paraId="70F4CD75" w14:textId="77B7EA46" w:rsidR="001B0068" w:rsidRPr="001B0068" w:rsidRDefault="001B0068" w:rsidP="001B0068">
      <w:pPr>
        <w:spacing w:line="480" w:lineRule="auto"/>
        <w:ind w:firstLine="720"/>
        <w:rPr>
          <w:rFonts w:ascii="Times New Roman" w:hAnsi="Times New Roman" w:cs="Times New Roman"/>
          <w:b/>
          <w:bCs/>
          <w:sz w:val="24"/>
          <w:szCs w:val="24"/>
          <w:lang w:val="en-US"/>
        </w:rPr>
      </w:pPr>
      <w:r w:rsidRPr="001B0068">
        <w:rPr>
          <w:rFonts w:ascii="Times New Roman" w:hAnsi="Times New Roman" w:cs="Times New Roman"/>
          <w:b/>
          <w:bCs/>
          <w:i/>
          <w:iCs/>
          <w:sz w:val="24"/>
          <w:szCs w:val="24"/>
          <w:lang w:val="en-US"/>
        </w:rPr>
        <w:t>Keywords:</w:t>
      </w:r>
      <w:r>
        <w:rPr>
          <w:rFonts w:ascii="Times New Roman" w:hAnsi="Times New Roman" w:cs="Times New Roman"/>
          <w:b/>
          <w:bCs/>
          <w:sz w:val="24"/>
          <w:szCs w:val="24"/>
          <w:lang w:val="en-US"/>
        </w:rPr>
        <w:t xml:space="preserve"> </w:t>
      </w:r>
      <w:r w:rsidRPr="001B0068">
        <w:rPr>
          <w:rFonts w:ascii="Times New Roman" w:hAnsi="Times New Roman" w:cs="Times New Roman"/>
          <w:sz w:val="24"/>
          <w:szCs w:val="24"/>
          <w:lang w:val="en-US"/>
        </w:rPr>
        <w:t>Femicide, gender-based violence, Barranquilla, gender inequality, patriarchy, public policies, human rights, criminal justice, sociocultural analysis.</w:t>
      </w:r>
    </w:p>
    <w:p w14:paraId="2D7FEB79" w14:textId="77777777" w:rsidR="00BE6C2A" w:rsidRDefault="00BE6C2A" w:rsidP="0082687D">
      <w:pPr>
        <w:spacing w:line="480" w:lineRule="auto"/>
        <w:rPr>
          <w:rFonts w:ascii="Times New Roman" w:hAnsi="Times New Roman" w:cs="Times New Roman"/>
          <w:b/>
          <w:bCs/>
          <w:sz w:val="24"/>
          <w:szCs w:val="24"/>
          <w:lang w:val="en-US"/>
        </w:rPr>
      </w:pPr>
    </w:p>
    <w:p w14:paraId="169CC66B" w14:textId="738B54EA" w:rsidR="0082687D" w:rsidRPr="0082687D" w:rsidRDefault="0082687D" w:rsidP="0082687D">
      <w:pPr>
        <w:spacing w:line="480" w:lineRule="auto"/>
        <w:jc w:val="center"/>
        <w:rPr>
          <w:rFonts w:ascii="Times New Roman" w:hAnsi="Times New Roman" w:cs="Times New Roman"/>
          <w:b/>
          <w:bCs/>
          <w:sz w:val="24"/>
          <w:szCs w:val="24"/>
        </w:rPr>
      </w:pPr>
      <w:r w:rsidRPr="0082687D">
        <w:rPr>
          <w:rFonts w:ascii="Times New Roman" w:hAnsi="Times New Roman" w:cs="Times New Roman"/>
          <w:b/>
          <w:bCs/>
          <w:sz w:val="24"/>
          <w:szCs w:val="24"/>
        </w:rPr>
        <w:t>I</w:t>
      </w:r>
      <w:r w:rsidR="00785073">
        <w:rPr>
          <w:rFonts w:ascii="Times New Roman" w:hAnsi="Times New Roman" w:cs="Times New Roman"/>
          <w:b/>
          <w:bCs/>
          <w:sz w:val="24"/>
          <w:szCs w:val="24"/>
        </w:rPr>
        <w:t>ntroducción</w:t>
      </w:r>
    </w:p>
    <w:p w14:paraId="1774BC08"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El feminicidio constituye una de las formas más extremas y devastadoras de la violencia de género, siendo el reflejo de desigualdades históricas y estructurales que afectan a las mujeres en todo el mundo. En Colombia, este fenómeno ha adquirido una relevancia preocupante, no solo por el aumento sostenido en las cifras, sino también por las consecuencias sociales, familiares e individuales que genera. Barranquilla y su área metropolitana se posicionan como una de las regiones más afectadas, lo que convierte a esta problemática en un tema prioritario para el análisis y la intervención.</w:t>
      </w:r>
    </w:p>
    <w:p w14:paraId="745E4B7B"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En esta región, el feminicidio no es únicamente un indicador de violencia física, sino también el resultado de dinámicas culturales y socioeconómicas profundamente arraigadas. El machismo, la desigualdad de género, la urbanización acelerada y la falta de acceso a recursos y oportunidades contribuyen a la perpetuación de este crimen. Estos factores, sumados a una respuesta institucional deficiente, han dificultado la prevención efectiva y la protección de las mujeres, incrementando los riesgos y vulnerabilidades.</w:t>
      </w:r>
    </w:p>
    <w:p w14:paraId="60829FF3"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La pandemia de COVID-19, que afectó al mundo entre 2020 y 2022, agravó esta situación al intensificar las tensiones sociales y económicas. Durante este periodo, muchas mujeres se vieron confinadas en entornos de violencia doméstica sin acceso a redes de apoyo o protección institucional. Este contexto ha generado un aumento alarmante en los casos de feminicidio y ha evidenciado la necesidad de analizar de manera integral las condiciones que perpetúan la violencia de género en contextos urbanos como Barranquilla.</w:t>
      </w:r>
    </w:p>
    <w:p w14:paraId="0E3F0745"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La relevancia de este análisis radica en que, más allá de las cifras, el feminicidio tiene un impacto devastador en las familias y comunidades, rompiendo ciclos de vida y perpetuando patrones de miedo y opresión. Además, su estudio permite visibilizar las deficiencias en las respuestas del sistema de justicia penal, las políticas públicas y las estrategias de prevención implementadas hasta el momento. La visibilización de estas carencias es un paso crucial para diseñar intervenciones más efectivas y sostenibles.</w:t>
      </w:r>
    </w:p>
    <w:p w14:paraId="23069B50"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Desde una perspectiva académica, el análisis del feminicidio en Barranquilla es una oportunidad para abordar el fenómeno desde un enfoque interdisciplinario. Las teorías feministas, la criminología y los estudios de derechos humanos proporcionan herramientas conceptuales para entender las raíces de esta problemática, mientras que el análisis de datos estadísticos y cualitativos permite identificar patrones y tendencias relevantes. Este enfoque no solo facilita la comprensión del fenómeno, sino que también puede servir de base para la formulación de políticas y programas de intervención.</w:t>
      </w:r>
    </w:p>
    <w:p w14:paraId="4F811D36"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Este estudio tiene como objetivo principal analizar los feminicidios ocurridos en Barranquilla y su área metropolitana entre los años 2020 y 2024, identificando factores sociodemográficos, contextuales e institucionales que inciden en este crimen. A partir de este análisis, se busca no solo comprender las dinámicas del feminicidio en la región, sino también proponer recomendaciones que contribuyan a prevenir esta forma extrema de violencia y a garantizar justicia y protección para las mujeres.</w:t>
      </w:r>
    </w:p>
    <w:p w14:paraId="274A6F98"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En conclusión, el feminicidio en Barranquilla es un reflejo de las desigualdades estructurales que persisten en la sociedad colombiana. Este estudio pretende ser una contribución significativa al debate académico y social sobre esta problemática, ofreciendo una mirada integral que aborde tanto las causas como las posibles soluciones. Al hacerlo, se espera aportar al desarrollo de una sociedad más justa y equitativa, donde el derecho de las mujeres a vivir libres de violencia sea una realidad tangible.</w:t>
      </w:r>
    </w:p>
    <w:p w14:paraId="29886C58" w14:textId="66AC9310" w:rsidR="0082687D" w:rsidRPr="00785073" w:rsidRDefault="0082687D" w:rsidP="00785073">
      <w:pPr>
        <w:pStyle w:val="Prrafodelista"/>
        <w:numPr>
          <w:ilvl w:val="0"/>
          <w:numId w:val="11"/>
        </w:numPr>
        <w:spacing w:line="480" w:lineRule="auto"/>
        <w:jc w:val="center"/>
        <w:rPr>
          <w:rFonts w:ascii="Times New Roman" w:hAnsi="Times New Roman" w:cs="Times New Roman"/>
          <w:b/>
          <w:bCs/>
          <w:sz w:val="24"/>
          <w:szCs w:val="24"/>
        </w:rPr>
      </w:pPr>
      <w:r w:rsidRPr="00785073">
        <w:rPr>
          <w:rFonts w:ascii="Times New Roman" w:hAnsi="Times New Roman" w:cs="Times New Roman"/>
          <w:b/>
          <w:bCs/>
          <w:sz w:val="24"/>
          <w:szCs w:val="24"/>
        </w:rPr>
        <w:t>P</w:t>
      </w:r>
      <w:r w:rsidR="00785073">
        <w:rPr>
          <w:rFonts w:ascii="Times New Roman" w:hAnsi="Times New Roman" w:cs="Times New Roman"/>
          <w:b/>
          <w:bCs/>
          <w:sz w:val="24"/>
          <w:szCs w:val="24"/>
        </w:rPr>
        <w:t>lanteamiento del Problema</w:t>
      </w:r>
    </w:p>
    <w:p w14:paraId="5CFF2EAD"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El feminicidio, definido como el asesinato de una mujer por razones de género, representa una de las manifestaciones más extremas de la violencia de género en Colombia. Este delito no solo refleja una grave violación a los derechos humanos, sino también un fracaso en los mecanismos institucionales diseñados para proteger a las mujeres. En Barranquilla y su área metropolitana, los feminicidios han alcanzado cifras alarmantes entre 2020 y 2024, evidenciando que las dinámicas socioculturales y estructurales de esta región continúan perpetuando la violencia contra las mujeres.</w:t>
      </w:r>
    </w:p>
    <w:p w14:paraId="44AE7D96" w14:textId="77777777" w:rsidR="0082687D" w:rsidRP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A pesar de los avances en la legislación colombiana, como la Ley 1761 de 2015 que tipifica el feminicidio como un delito autónomo, persisten brechas significativas en la implementación de estas normativas. Muchas víctimas habían denunciado previamente situaciones de violencia sin recibir protección adecuada, lo que demuestra fallos críticos en los sistemas de prevención y respuesta. Además, factores como la desigualdad socioeconómica, el machismo estructural y la falta de recursos para atender a las víctimas agravan esta problemática, creando un entorno que facilita la ocurrencia de estos crímenes.</w:t>
      </w:r>
    </w:p>
    <w:p w14:paraId="7514BC0E" w14:textId="77777777" w:rsid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La región de Barranquilla, caracterizada por su diversidad cultural y su rápido crecimiento urbano, enfrenta retos particulares en cuanto a la violencia de género. Las dinámicas sociales en esta área, combinadas con un sistema judicial sobrecargado y una respuesta institucional limitada, generan condiciones propicias para la impunidad y la repetición del feminicidio. Este contexto plantea interrogantes sobre la efectividad de las políticas públicas y la capacidad de las instituciones para garantizar justicia y protección a las mujeres en situación de riesgo.</w:t>
      </w:r>
    </w:p>
    <w:p w14:paraId="58AF558A" w14:textId="77777777" w:rsidR="00785073" w:rsidRDefault="00785073" w:rsidP="0082687D">
      <w:pPr>
        <w:spacing w:line="480" w:lineRule="auto"/>
        <w:ind w:firstLine="720"/>
        <w:jc w:val="both"/>
        <w:rPr>
          <w:rFonts w:ascii="Times New Roman" w:hAnsi="Times New Roman" w:cs="Times New Roman"/>
          <w:sz w:val="24"/>
          <w:szCs w:val="24"/>
        </w:rPr>
      </w:pPr>
    </w:p>
    <w:p w14:paraId="7269E0DF" w14:textId="4A3F14A4" w:rsidR="00785073" w:rsidRPr="00785073" w:rsidRDefault="00785073" w:rsidP="00785073">
      <w:pPr>
        <w:pStyle w:val="Prrafodelista"/>
        <w:numPr>
          <w:ilvl w:val="1"/>
          <w:numId w:val="11"/>
        </w:numPr>
        <w:spacing w:line="480" w:lineRule="auto"/>
        <w:jc w:val="both"/>
        <w:rPr>
          <w:rFonts w:ascii="Times New Roman" w:hAnsi="Times New Roman" w:cs="Times New Roman"/>
          <w:b/>
          <w:bCs/>
          <w:sz w:val="24"/>
          <w:szCs w:val="24"/>
        </w:rPr>
      </w:pPr>
      <w:r w:rsidRPr="00785073">
        <w:rPr>
          <w:rFonts w:ascii="Times New Roman" w:hAnsi="Times New Roman" w:cs="Times New Roman"/>
          <w:b/>
          <w:bCs/>
          <w:sz w:val="24"/>
          <w:szCs w:val="24"/>
        </w:rPr>
        <w:t>Descripción del problema</w:t>
      </w:r>
    </w:p>
    <w:p w14:paraId="34DDABA3"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El feminicidio en Colombia constituye una de las manifestaciones más atroces de la violencia de género y representa una amenaza directa a los derechos humanos de las mujeres. En particular, en la ciudad de Barranquilla y su área metropolitana, este fenómeno ha adquirido dimensiones alarmantes en el periodo comprendido entre 2020 y 2024, dejando en evidencia una preocupante continuidad de patrones de violencia que afectan de forma sistemática a las mujeres. A pesar de los discursos institucionales que promueven la equidad y la protección de los derechos de las mujeres, la realidad muestra un panorama en el que la violencia feminicida persiste, y en muchos casos se incrementa, como consecuencia de una respuesta estatal débil, desarticulada y limitada.</w:t>
      </w:r>
    </w:p>
    <w:p w14:paraId="370E6036"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La existencia de la Ley 1761 de 2015, conocida como la Ley Rosa Elvira Cely, fue un avance significativo en el reconocimiento del feminicidio como un delito autónomo. Sin embargo, su aplicación práctica ha enfrentado múltiples obstáculos que impiden su efectividad. La mayoría de los casos de feminicidio en la región estudiada tienen antecedentes de violencia intrafamiliar, psicológica o sexual que fueron denunciados con anterioridad por las víctimas, sin que estas obtuvieran medidas de protección efectivas. Este vacío en la prevención y protección ha derivado en consecuencias fatales, dejando al descubierto graves deficiencias en la capacidad de las instituciones para actuar oportunamente y romper el ciclo de violencia antes de que alcance su punto más trágico.</w:t>
      </w:r>
    </w:p>
    <w:p w14:paraId="3D8DC2D8"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Otro factor determinante en la persistencia del feminicidio en Barranquilla es la profunda desigualdad social y económica que afecta a muchas mujeres en situación de vulnerabilidad. Las condiciones de pobreza, el desempleo, la dependencia económica y la escasa cobertura de servicios psicosociales y jurídicos dificultan que las víctimas puedan romper con relaciones violentas o acceder a redes de apoyo eficaces. Asimismo, la normalización del machismo en entornos familiares, comunitarios e institucionales sigue siendo un obstáculo cultural de peso. Este tipo de violencia estructural se reproduce en múltiples esferas y termina justificando, minimizando o invisibilizando la violencia que sufren las mujeres, incluso en sus formas más letales.</w:t>
      </w:r>
    </w:p>
    <w:p w14:paraId="0278C066"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La falta de recursos humanos, técnicos y financieros en las instituciones encargadas de prevenir y sancionar el feminicidio es otro componente crítico. En muchos casos, las comisarías de familia, fiscalías y juzgados carecen del personal especializado o de la infraestructura necesaria para atender de manera eficaz a las víctimas. Además, la sobrecarga del sistema judicial y la burocracia dilatan los procesos y reducen la confianza de las mujeres en las rutas de atención existentes. Esta debilidad institucional incrementa el riesgo de impunidad, envía un mensaje de permisividad frente a la violencia feminicida, y profundiza la desprotección de las mujeres en riesgo.</w:t>
      </w:r>
    </w:p>
    <w:p w14:paraId="6D79BA0E"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Barranquilla, con su diversidad cultural y su acelerado crecimiento urbano, presenta además desafíos particulares. La expansión de sectores urbanos marginales sin acceso pleno a servicios sociales, la violencia interpersonal en espacios domésticos y públicos, y la presencia de estructuras sociales patriarcales refuerzan un entorno inseguro para las mujeres. En este contexto, las políticas públicas muchas veces no logran adaptarse a las realidades locales ni generar transformaciones sostenibles. La falta de participación comunitaria, la escasa articulación interinstitucional y la ausencia de un enfoque integral de género en la gestión pública dificultan que se implementen soluciones efectivas para prevenir el feminicidio y proteger la vida de las mujeres.</w:t>
      </w:r>
    </w:p>
    <w:p w14:paraId="71E3A358" w14:textId="77777777" w:rsidR="00785073" w:rsidRPr="00785073" w:rsidRDefault="00785073" w:rsidP="00785073">
      <w:pPr>
        <w:spacing w:before="100" w:beforeAutospacing="1" w:after="100" w:afterAutospacing="1" w:line="480" w:lineRule="auto"/>
        <w:ind w:firstLine="720"/>
        <w:jc w:val="both"/>
        <w:rPr>
          <w:rFonts w:ascii="Times New Roman" w:eastAsia="Times New Roman" w:hAnsi="Times New Roman" w:cs="Times New Roman"/>
          <w:kern w:val="0"/>
          <w:sz w:val="24"/>
          <w:szCs w:val="24"/>
          <w:lang w:eastAsia="es-CO"/>
          <w14:ligatures w14:val="none"/>
        </w:rPr>
      </w:pPr>
      <w:r w:rsidRPr="00785073">
        <w:rPr>
          <w:rFonts w:ascii="Times New Roman" w:eastAsia="Times New Roman" w:hAnsi="Times New Roman" w:cs="Times New Roman"/>
          <w:kern w:val="0"/>
          <w:sz w:val="24"/>
          <w:szCs w:val="24"/>
          <w:lang w:eastAsia="es-CO"/>
          <w14:ligatures w14:val="none"/>
        </w:rPr>
        <w:t>En suma, el feminicidio en Barranquilla no es un fenómeno aislado, sino el resultado de múltiples factores interrelacionados que abarcan lo legal, lo cultural, lo institucional y lo estructural. Las cifras elevadas de feminicidios y las condiciones que los propician obligan a cuestionar profundamente la eficacia de las acciones estatales y sociales frente a esta problemática. La persistencia de este crimen pone en evidencia que, más allá de las leyes, se requiere una transformación profunda de las estructuras de poder, una revisión crítica de los mecanismos institucionales y una apuesta decidida por políticas públicas integrales que reconozcan a las mujeres como sujetas de derechos y garanticen plenamente su vida, dignidad y autonomía.</w:t>
      </w:r>
    </w:p>
    <w:p w14:paraId="33E0984A" w14:textId="72229E55" w:rsidR="00785073" w:rsidRPr="00785073" w:rsidRDefault="00785073" w:rsidP="00785073">
      <w:pPr>
        <w:spacing w:line="480" w:lineRule="auto"/>
        <w:ind w:left="720"/>
        <w:jc w:val="both"/>
        <w:rPr>
          <w:rFonts w:ascii="Times New Roman" w:hAnsi="Times New Roman" w:cs="Times New Roman"/>
          <w:b/>
          <w:bCs/>
          <w:sz w:val="24"/>
          <w:szCs w:val="24"/>
        </w:rPr>
      </w:pPr>
      <w:r>
        <w:rPr>
          <w:rFonts w:ascii="Times New Roman" w:hAnsi="Times New Roman" w:cs="Times New Roman"/>
          <w:b/>
          <w:bCs/>
          <w:sz w:val="24"/>
          <w:szCs w:val="24"/>
        </w:rPr>
        <w:t>1.2 Pregunta Problema</w:t>
      </w:r>
    </w:p>
    <w:p w14:paraId="377F59C0" w14:textId="77777777" w:rsidR="0082687D" w:rsidRDefault="0082687D" w:rsidP="0082687D">
      <w:pPr>
        <w:spacing w:line="480" w:lineRule="auto"/>
        <w:ind w:firstLine="720"/>
        <w:jc w:val="both"/>
        <w:rPr>
          <w:rFonts w:ascii="Times New Roman" w:hAnsi="Times New Roman" w:cs="Times New Roman"/>
          <w:sz w:val="24"/>
          <w:szCs w:val="24"/>
        </w:rPr>
      </w:pPr>
      <w:r w:rsidRPr="0082687D">
        <w:rPr>
          <w:rFonts w:ascii="Times New Roman" w:hAnsi="Times New Roman" w:cs="Times New Roman"/>
          <w:sz w:val="24"/>
          <w:szCs w:val="24"/>
        </w:rPr>
        <w:t>En este marco, surge la pregunta central que guía esta investigación: ¿Cuáles son los factores sociodemográficos y contextuales que han influido en la ocurrencia de feminicidios en Barranquilla y su área metropolitana entre 2020 y 2024, y cómo han respondido las instituciones a estos crímenes?</w:t>
      </w:r>
    </w:p>
    <w:p w14:paraId="040B18C5" w14:textId="77777777" w:rsidR="0082687D" w:rsidRDefault="0082687D" w:rsidP="0082687D">
      <w:pPr>
        <w:spacing w:line="480" w:lineRule="auto"/>
        <w:ind w:firstLine="720"/>
        <w:jc w:val="both"/>
        <w:rPr>
          <w:rFonts w:ascii="Times New Roman" w:hAnsi="Times New Roman" w:cs="Times New Roman"/>
          <w:sz w:val="24"/>
          <w:szCs w:val="24"/>
        </w:rPr>
      </w:pPr>
    </w:p>
    <w:p w14:paraId="05290F13" w14:textId="77777777" w:rsidR="0082687D" w:rsidRDefault="0082687D" w:rsidP="0082687D">
      <w:pPr>
        <w:spacing w:line="480" w:lineRule="auto"/>
        <w:ind w:firstLine="720"/>
        <w:jc w:val="both"/>
        <w:rPr>
          <w:rFonts w:ascii="Times New Roman" w:hAnsi="Times New Roman" w:cs="Times New Roman"/>
          <w:sz w:val="24"/>
          <w:szCs w:val="24"/>
        </w:rPr>
      </w:pPr>
    </w:p>
    <w:p w14:paraId="4D20DAAD" w14:textId="77777777" w:rsidR="0082687D" w:rsidRDefault="0082687D" w:rsidP="0082687D">
      <w:pPr>
        <w:spacing w:line="480" w:lineRule="auto"/>
        <w:ind w:firstLine="720"/>
        <w:jc w:val="both"/>
        <w:rPr>
          <w:rFonts w:ascii="Times New Roman" w:hAnsi="Times New Roman" w:cs="Times New Roman"/>
          <w:sz w:val="24"/>
          <w:szCs w:val="24"/>
        </w:rPr>
      </w:pPr>
    </w:p>
    <w:p w14:paraId="311BD591" w14:textId="77777777" w:rsidR="0082687D" w:rsidRDefault="0082687D" w:rsidP="0082687D">
      <w:pPr>
        <w:spacing w:line="480" w:lineRule="auto"/>
        <w:ind w:firstLine="720"/>
        <w:jc w:val="both"/>
        <w:rPr>
          <w:rFonts w:ascii="Times New Roman" w:hAnsi="Times New Roman" w:cs="Times New Roman"/>
          <w:sz w:val="24"/>
          <w:szCs w:val="24"/>
        </w:rPr>
      </w:pPr>
    </w:p>
    <w:p w14:paraId="1AF531F8" w14:textId="77777777" w:rsidR="0082687D" w:rsidRDefault="0082687D" w:rsidP="0082687D">
      <w:pPr>
        <w:spacing w:line="480" w:lineRule="auto"/>
        <w:ind w:firstLine="720"/>
        <w:jc w:val="both"/>
        <w:rPr>
          <w:rFonts w:ascii="Times New Roman" w:hAnsi="Times New Roman" w:cs="Times New Roman"/>
          <w:sz w:val="24"/>
          <w:szCs w:val="24"/>
        </w:rPr>
      </w:pPr>
    </w:p>
    <w:p w14:paraId="555A028C" w14:textId="77777777" w:rsidR="0082687D" w:rsidRDefault="0082687D" w:rsidP="00417FF1">
      <w:pPr>
        <w:spacing w:line="480" w:lineRule="auto"/>
        <w:jc w:val="both"/>
        <w:rPr>
          <w:rFonts w:ascii="Times New Roman" w:hAnsi="Times New Roman" w:cs="Times New Roman"/>
          <w:sz w:val="24"/>
          <w:szCs w:val="24"/>
        </w:rPr>
      </w:pPr>
    </w:p>
    <w:p w14:paraId="3B164DAE" w14:textId="77777777" w:rsidR="00417FF1" w:rsidRDefault="00417FF1" w:rsidP="00417FF1">
      <w:pPr>
        <w:spacing w:line="480" w:lineRule="auto"/>
        <w:jc w:val="both"/>
        <w:rPr>
          <w:rFonts w:ascii="Times New Roman" w:hAnsi="Times New Roman" w:cs="Times New Roman"/>
          <w:sz w:val="24"/>
          <w:szCs w:val="24"/>
        </w:rPr>
      </w:pPr>
    </w:p>
    <w:p w14:paraId="723FECFD" w14:textId="53D0B78C" w:rsidR="0082687D" w:rsidRPr="00417FF1" w:rsidRDefault="00417FF1" w:rsidP="00417FF1">
      <w:pPr>
        <w:pStyle w:val="Prrafodelista"/>
        <w:numPr>
          <w:ilvl w:val="0"/>
          <w:numId w:val="11"/>
        </w:num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Justificación</w:t>
      </w:r>
    </w:p>
    <w:p w14:paraId="52C99C69" w14:textId="77777777" w:rsidR="00DD3A2F" w:rsidRPr="00DD3A2F" w:rsidRDefault="00DD3A2F" w:rsidP="00DD3A2F">
      <w:pPr>
        <w:spacing w:line="480" w:lineRule="auto"/>
        <w:ind w:firstLine="720"/>
        <w:jc w:val="both"/>
        <w:rPr>
          <w:rFonts w:ascii="Times New Roman" w:hAnsi="Times New Roman" w:cs="Times New Roman"/>
          <w:sz w:val="24"/>
          <w:szCs w:val="24"/>
        </w:rPr>
      </w:pPr>
      <w:r w:rsidRPr="00DD3A2F">
        <w:rPr>
          <w:rFonts w:ascii="Times New Roman" w:hAnsi="Times New Roman" w:cs="Times New Roman"/>
          <w:sz w:val="24"/>
          <w:szCs w:val="24"/>
        </w:rPr>
        <w:t>El feminicidio, reconocido como un delito autónomo en Colombia a través de la Ley 1761 de 2015 (Ley Rosa Elvira Cely), refleja una deuda estructural en la protección de los derechos fundamentales de las mujeres. Aunque esta legislación busca sancionar los asesinatos motivados por razones de género y proteger a las mujeres, los altos índices de feminicidio, especialmente en regiones como Barranquilla, evidencian limitaciones significativas en la implementación de la norma. Este análisis es esencial para identificar vacíos en el sistema de justicia y proponer medidas efectivas que garanticen el cumplimiento del mandato constitucional de protección a la vida y la igualdad de género.</w:t>
      </w:r>
    </w:p>
    <w:p w14:paraId="47B1AD91" w14:textId="77777777" w:rsidR="00DD3A2F" w:rsidRDefault="00DD3A2F" w:rsidP="00DD3A2F">
      <w:pPr>
        <w:spacing w:line="480" w:lineRule="auto"/>
        <w:ind w:firstLine="720"/>
        <w:jc w:val="both"/>
        <w:rPr>
          <w:rFonts w:ascii="MS Gothic" w:eastAsia="MS Gothic" w:hAnsi="MS Gothic" w:cs="MS Gothic"/>
          <w:sz w:val="24"/>
          <w:szCs w:val="24"/>
        </w:rPr>
      </w:pPr>
      <w:r w:rsidRPr="00DD3A2F">
        <w:rPr>
          <w:rFonts w:ascii="Times New Roman" w:hAnsi="Times New Roman" w:cs="Times New Roman"/>
          <w:sz w:val="24"/>
          <w:szCs w:val="24"/>
        </w:rPr>
        <w:t>La jurisprudencia de la Corte Constitucional ha sentado precedentes relevantes en el abordaje de la violencia contra las mujeres. Por ejemplo, la Sentencia C-539 de 2016 declaró exequible la definición de feminicidio establecida en la Ley 1761, subrayando que este delito responde a patrones de discriminación estructural basados en el género y el odio hacia las mujeres como un grupo social. Asimismo, la Sentencia T-344 de 2020 enfatizó la importancia de la perspectiva de género en la administración de justicia, recordando a las autoridades su deber de actuar con debida diligencia en la prevención y sanción de la violencia de género</w:t>
      </w:r>
      <w:r>
        <w:rPr>
          <w:rFonts w:ascii="MS Gothic" w:eastAsia="MS Gothic" w:hAnsi="MS Gothic" w:cs="MS Gothic"/>
          <w:sz w:val="24"/>
          <w:szCs w:val="24"/>
        </w:rPr>
        <w:t>.</w:t>
      </w:r>
    </w:p>
    <w:p w14:paraId="702446F7" w14:textId="4FC80697" w:rsidR="00DD3A2F" w:rsidRPr="00DD3A2F" w:rsidRDefault="00DD3A2F" w:rsidP="00DD3A2F">
      <w:pPr>
        <w:spacing w:line="480" w:lineRule="auto"/>
        <w:ind w:firstLine="720"/>
        <w:jc w:val="both"/>
        <w:rPr>
          <w:rFonts w:ascii="Times New Roman" w:hAnsi="Times New Roman" w:cs="Times New Roman"/>
          <w:sz w:val="24"/>
          <w:szCs w:val="24"/>
        </w:rPr>
      </w:pPr>
      <w:r w:rsidRPr="00DD3A2F">
        <w:rPr>
          <w:rFonts w:ascii="Times New Roman" w:hAnsi="Times New Roman" w:cs="Times New Roman"/>
          <w:sz w:val="24"/>
          <w:szCs w:val="24"/>
        </w:rPr>
        <w:t>A nivel internacional, la Corte Interamericana de Derechos Humanos, en casos como "Campo Algodonero vs. México", ha definido estándares para el juzgamiento de feminicidios, subrayando que la impunidad en estos casos perpetúa la discriminación estructural. Estas consideraciones han influido en la jurisprudencia nacional, resaltando la necesidad de superar barreras como la revictimización de las mujeres, la falta de recursos institucionales y la insuficiencia de datos estadísticos confiables. Estos elementos son fundamentales para garantizar una justicia efectiva y basada en la equida</w:t>
      </w:r>
      <w:r>
        <w:rPr>
          <w:rFonts w:ascii="Times New Roman" w:hAnsi="Times New Roman" w:cs="Times New Roman"/>
          <w:sz w:val="24"/>
          <w:szCs w:val="24"/>
        </w:rPr>
        <w:t>d.</w:t>
      </w:r>
    </w:p>
    <w:p w14:paraId="3AC36439" w14:textId="77777777" w:rsidR="00DD3A2F" w:rsidRDefault="00DD3A2F" w:rsidP="00DD3A2F">
      <w:pPr>
        <w:spacing w:line="480" w:lineRule="auto"/>
        <w:ind w:firstLine="720"/>
        <w:jc w:val="both"/>
        <w:rPr>
          <w:rFonts w:ascii="Times New Roman" w:hAnsi="Times New Roman" w:cs="Times New Roman"/>
          <w:sz w:val="24"/>
          <w:szCs w:val="24"/>
        </w:rPr>
      </w:pPr>
      <w:r w:rsidRPr="00DD3A2F">
        <w:rPr>
          <w:rFonts w:ascii="Times New Roman" w:hAnsi="Times New Roman" w:cs="Times New Roman"/>
          <w:sz w:val="24"/>
          <w:szCs w:val="24"/>
        </w:rPr>
        <w:t>El análisis del feminicidio en Barranquilla permite abordar esta problemática desde un enfoque territorial y diferencial, reconociendo las dinámicas sociales, económicas y culturales propias de la región. Este estudio busca aportar a la formulación de políticas públicas más efectivas, fortaleciendo los mecanismos de protección y sanción. Al hacerlo, contribuye no solo al cumplimiento de la normativa nacional e internacional, sino también a la construcción de una sociedad más equitativa y comprometida con el derecho de las mujeres a vivir libres de violencia.</w:t>
      </w:r>
    </w:p>
    <w:p w14:paraId="57C65126" w14:textId="77777777" w:rsidR="00D15FFA" w:rsidRDefault="00D15FFA" w:rsidP="00DD3A2F">
      <w:pPr>
        <w:spacing w:line="480" w:lineRule="auto"/>
        <w:ind w:firstLine="720"/>
        <w:jc w:val="both"/>
        <w:rPr>
          <w:rFonts w:ascii="Times New Roman" w:hAnsi="Times New Roman" w:cs="Times New Roman"/>
          <w:sz w:val="24"/>
          <w:szCs w:val="24"/>
        </w:rPr>
      </w:pPr>
    </w:p>
    <w:p w14:paraId="78ACD994" w14:textId="77777777" w:rsidR="00D15FFA" w:rsidRDefault="00D15FFA" w:rsidP="00DD3A2F">
      <w:pPr>
        <w:spacing w:line="480" w:lineRule="auto"/>
        <w:ind w:firstLine="720"/>
        <w:jc w:val="both"/>
        <w:rPr>
          <w:rFonts w:ascii="Times New Roman" w:hAnsi="Times New Roman" w:cs="Times New Roman"/>
          <w:sz w:val="24"/>
          <w:szCs w:val="24"/>
        </w:rPr>
      </w:pPr>
    </w:p>
    <w:p w14:paraId="7305B0AA" w14:textId="77777777" w:rsidR="00D15FFA" w:rsidRDefault="00D15FFA" w:rsidP="00DD3A2F">
      <w:pPr>
        <w:spacing w:line="480" w:lineRule="auto"/>
        <w:ind w:firstLine="720"/>
        <w:jc w:val="both"/>
        <w:rPr>
          <w:rFonts w:ascii="Times New Roman" w:hAnsi="Times New Roman" w:cs="Times New Roman"/>
          <w:sz w:val="24"/>
          <w:szCs w:val="24"/>
        </w:rPr>
      </w:pPr>
    </w:p>
    <w:p w14:paraId="7FCDFC97" w14:textId="77777777" w:rsidR="00D15FFA" w:rsidRDefault="00D15FFA" w:rsidP="00DD3A2F">
      <w:pPr>
        <w:spacing w:line="480" w:lineRule="auto"/>
        <w:ind w:firstLine="720"/>
        <w:jc w:val="both"/>
        <w:rPr>
          <w:rFonts w:ascii="Times New Roman" w:hAnsi="Times New Roman" w:cs="Times New Roman"/>
          <w:sz w:val="24"/>
          <w:szCs w:val="24"/>
        </w:rPr>
      </w:pPr>
    </w:p>
    <w:p w14:paraId="3298F428" w14:textId="77777777" w:rsidR="00D15FFA" w:rsidRDefault="00D15FFA" w:rsidP="00DD3A2F">
      <w:pPr>
        <w:spacing w:line="480" w:lineRule="auto"/>
        <w:ind w:firstLine="720"/>
        <w:jc w:val="both"/>
        <w:rPr>
          <w:rFonts w:ascii="Times New Roman" w:hAnsi="Times New Roman" w:cs="Times New Roman"/>
          <w:sz w:val="24"/>
          <w:szCs w:val="24"/>
        </w:rPr>
      </w:pPr>
    </w:p>
    <w:p w14:paraId="6F253B58" w14:textId="77777777" w:rsidR="00D15FFA" w:rsidRDefault="00D15FFA" w:rsidP="00DD3A2F">
      <w:pPr>
        <w:spacing w:line="480" w:lineRule="auto"/>
        <w:ind w:firstLine="720"/>
        <w:jc w:val="both"/>
        <w:rPr>
          <w:rFonts w:ascii="Times New Roman" w:hAnsi="Times New Roman" w:cs="Times New Roman"/>
          <w:sz w:val="24"/>
          <w:szCs w:val="24"/>
        </w:rPr>
      </w:pPr>
    </w:p>
    <w:p w14:paraId="1C3F0FA2" w14:textId="77777777" w:rsidR="00D15FFA" w:rsidRDefault="00D15FFA" w:rsidP="00DD3A2F">
      <w:pPr>
        <w:spacing w:line="480" w:lineRule="auto"/>
        <w:ind w:firstLine="720"/>
        <w:jc w:val="both"/>
        <w:rPr>
          <w:rFonts w:ascii="Times New Roman" w:hAnsi="Times New Roman" w:cs="Times New Roman"/>
          <w:sz w:val="24"/>
          <w:szCs w:val="24"/>
        </w:rPr>
      </w:pPr>
    </w:p>
    <w:p w14:paraId="63DD99CC" w14:textId="77777777" w:rsidR="00D15FFA" w:rsidRDefault="00D15FFA" w:rsidP="00DD3A2F">
      <w:pPr>
        <w:spacing w:line="480" w:lineRule="auto"/>
        <w:ind w:firstLine="720"/>
        <w:jc w:val="both"/>
        <w:rPr>
          <w:rFonts w:ascii="Times New Roman" w:hAnsi="Times New Roman" w:cs="Times New Roman"/>
          <w:sz w:val="24"/>
          <w:szCs w:val="24"/>
        </w:rPr>
      </w:pPr>
    </w:p>
    <w:p w14:paraId="18B69A54" w14:textId="77777777" w:rsidR="00D15FFA" w:rsidRDefault="00D15FFA" w:rsidP="00DD3A2F">
      <w:pPr>
        <w:spacing w:line="480" w:lineRule="auto"/>
        <w:ind w:firstLine="720"/>
        <w:jc w:val="both"/>
        <w:rPr>
          <w:rFonts w:ascii="Times New Roman" w:hAnsi="Times New Roman" w:cs="Times New Roman"/>
          <w:sz w:val="24"/>
          <w:szCs w:val="24"/>
        </w:rPr>
      </w:pPr>
    </w:p>
    <w:p w14:paraId="519F8D11" w14:textId="77777777" w:rsidR="00D15FFA" w:rsidRDefault="00D15FFA" w:rsidP="00DD3A2F">
      <w:pPr>
        <w:spacing w:line="480" w:lineRule="auto"/>
        <w:ind w:firstLine="720"/>
        <w:jc w:val="both"/>
        <w:rPr>
          <w:rFonts w:ascii="Times New Roman" w:hAnsi="Times New Roman" w:cs="Times New Roman"/>
          <w:sz w:val="24"/>
          <w:szCs w:val="24"/>
        </w:rPr>
      </w:pPr>
    </w:p>
    <w:p w14:paraId="4BCF3DA5" w14:textId="77777777" w:rsidR="00D15FFA" w:rsidRDefault="00D15FFA" w:rsidP="00DD3A2F">
      <w:pPr>
        <w:spacing w:line="480" w:lineRule="auto"/>
        <w:ind w:firstLine="720"/>
        <w:jc w:val="both"/>
        <w:rPr>
          <w:rFonts w:ascii="Times New Roman" w:hAnsi="Times New Roman" w:cs="Times New Roman"/>
          <w:sz w:val="24"/>
          <w:szCs w:val="24"/>
        </w:rPr>
      </w:pPr>
    </w:p>
    <w:p w14:paraId="5371EBC6" w14:textId="3EC0DA6D" w:rsidR="00D15FFA" w:rsidRDefault="00D15FFA" w:rsidP="00D15FFA">
      <w:pPr>
        <w:spacing w:line="480" w:lineRule="auto"/>
        <w:jc w:val="both"/>
        <w:rPr>
          <w:rFonts w:ascii="Times New Roman" w:hAnsi="Times New Roman" w:cs="Times New Roman"/>
          <w:sz w:val="24"/>
          <w:szCs w:val="24"/>
        </w:rPr>
      </w:pPr>
    </w:p>
    <w:p w14:paraId="163155CF" w14:textId="14884C52" w:rsidR="00D15FFA" w:rsidRDefault="00D15FFA" w:rsidP="0061714D">
      <w:pPr>
        <w:pStyle w:val="Prrafodelista"/>
        <w:numPr>
          <w:ilvl w:val="0"/>
          <w:numId w:val="11"/>
        </w:numPr>
        <w:spacing w:line="480" w:lineRule="auto"/>
        <w:jc w:val="center"/>
        <w:rPr>
          <w:rFonts w:ascii="Times New Roman" w:hAnsi="Times New Roman" w:cs="Times New Roman"/>
          <w:b/>
          <w:bCs/>
          <w:sz w:val="24"/>
          <w:szCs w:val="24"/>
        </w:rPr>
      </w:pPr>
      <w:r w:rsidRPr="0061714D">
        <w:rPr>
          <w:rFonts w:ascii="Times New Roman" w:hAnsi="Times New Roman" w:cs="Times New Roman"/>
          <w:b/>
          <w:bCs/>
          <w:sz w:val="24"/>
          <w:szCs w:val="24"/>
        </w:rPr>
        <w:t>O</w:t>
      </w:r>
      <w:r w:rsidR="0061714D">
        <w:rPr>
          <w:rFonts w:ascii="Times New Roman" w:hAnsi="Times New Roman" w:cs="Times New Roman"/>
          <w:b/>
          <w:bCs/>
          <w:sz w:val="24"/>
          <w:szCs w:val="24"/>
        </w:rPr>
        <w:t>bjetivos de la Investigación</w:t>
      </w:r>
    </w:p>
    <w:p w14:paraId="539BD733" w14:textId="77777777" w:rsidR="0061714D" w:rsidRPr="0061714D" w:rsidRDefault="0061714D" w:rsidP="0061714D">
      <w:pPr>
        <w:pStyle w:val="Prrafodelista"/>
        <w:spacing w:line="480" w:lineRule="auto"/>
        <w:rPr>
          <w:rFonts w:ascii="Times New Roman" w:hAnsi="Times New Roman" w:cs="Times New Roman"/>
          <w:b/>
          <w:bCs/>
          <w:sz w:val="24"/>
          <w:szCs w:val="24"/>
        </w:rPr>
      </w:pPr>
    </w:p>
    <w:p w14:paraId="2C9693C9" w14:textId="1E8644E1" w:rsidR="00D15FFA" w:rsidRDefault="0061714D" w:rsidP="00D15FFA">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3.1 </w:t>
      </w:r>
      <w:r w:rsidR="00D15FFA">
        <w:rPr>
          <w:rFonts w:ascii="Times New Roman" w:hAnsi="Times New Roman" w:cs="Times New Roman"/>
          <w:b/>
          <w:bCs/>
          <w:sz w:val="24"/>
          <w:szCs w:val="24"/>
        </w:rPr>
        <w:t>Objetivo General</w:t>
      </w:r>
    </w:p>
    <w:p w14:paraId="306EA0F6" w14:textId="77777777" w:rsidR="00641E6F" w:rsidRDefault="00641E6F" w:rsidP="00641E6F">
      <w:pPr>
        <w:spacing w:line="480" w:lineRule="auto"/>
        <w:ind w:firstLine="720"/>
        <w:jc w:val="both"/>
        <w:rPr>
          <w:rFonts w:ascii="Times New Roman" w:hAnsi="Times New Roman" w:cs="Times New Roman"/>
          <w:sz w:val="24"/>
          <w:szCs w:val="24"/>
        </w:rPr>
      </w:pPr>
      <w:r w:rsidRPr="00641E6F">
        <w:rPr>
          <w:rFonts w:ascii="Times New Roman" w:hAnsi="Times New Roman" w:cs="Times New Roman"/>
          <w:sz w:val="24"/>
          <w:szCs w:val="24"/>
        </w:rPr>
        <w:t>Analizar el feminicidio en Barranquilla y su área metropolitana entre 2020 y 2024, evaluando sus causas y las respuestas institucionales.</w:t>
      </w:r>
    </w:p>
    <w:p w14:paraId="141ADC6E" w14:textId="77777777" w:rsidR="0061714D" w:rsidRPr="00641E6F" w:rsidRDefault="0061714D" w:rsidP="00641E6F">
      <w:pPr>
        <w:spacing w:line="480" w:lineRule="auto"/>
        <w:ind w:firstLine="720"/>
        <w:jc w:val="both"/>
        <w:rPr>
          <w:rFonts w:ascii="Times New Roman" w:hAnsi="Times New Roman" w:cs="Times New Roman"/>
          <w:sz w:val="24"/>
          <w:szCs w:val="24"/>
        </w:rPr>
      </w:pPr>
    </w:p>
    <w:p w14:paraId="1F21BBA3" w14:textId="1C9BB445" w:rsidR="00641E6F" w:rsidRPr="00641E6F" w:rsidRDefault="0061714D" w:rsidP="0061714D">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3.2 </w:t>
      </w:r>
      <w:r w:rsidR="00641E6F" w:rsidRPr="00641E6F">
        <w:rPr>
          <w:rFonts w:ascii="Times New Roman" w:hAnsi="Times New Roman" w:cs="Times New Roman"/>
          <w:b/>
          <w:bCs/>
          <w:sz w:val="24"/>
          <w:szCs w:val="24"/>
        </w:rPr>
        <w:t>Objetivos específicos</w:t>
      </w:r>
    </w:p>
    <w:p w14:paraId="6C280D84" w14:textId="59C1DE94" w:rsidR="00641E6F" w:rsidRPr="00641E6F" w:rsidRDefault="00641E6F" w:rsidP="00641E6F">
      <w:pPr>
        <w:numPr>
          <w:ilvl w:val="0"/>
          <w:numId w:val="8"/>
        </w:numPr>
        <w:tabs>
          <w:tab w:val="num" w:pos="720"/>
        </w:tabs>
        <w:spacing w:line="480" w:lineRule="auto"/>
        <w:jc w:val="both"/>
        <w:rPr>
          <w:rFonts w:ascii="Times New Roman" w:hAnsi="Times New Roman" w:cs="Times New Roman"/>
          <w:sz w:val="24"/>
          <w:szCs w:val="24"/>
        </w:rPr>
      </w:pPr>
      <w:r w:rsidRPr="00641E6F">
        <w:rPr>
          <w:rFonts w:ascii="Times New Roman" w:hAnsi="Times New Roman" w:cs="Times New Roman"/>
          <w:sz w:val="24"/>
          <w:szCs w:val="24"/>
        </w:rPr>
        <w:t>Identificar las características sociodemográficas de las víctimas de feminicidio</w:t>
      </w:r>
      <w:r w:rsidR="00D40471">
        <w:rPr>
          <w:rFonts w:ascii="Times New Roman" w:hAnsi="Times New Roman" w:cs="Times New Roman"/>
          <w:sz w:val="24"/>
          <w:szCs w:val="24"/>
        </w:rPr>
        <w:t xml:space="preserve"> en Barranquilla y su área metropolitana</w:t>
      </w:r>
      <w:r w:rsidRPr="00641E6F">
        <w:rPr>
          <w:rFonts w:ascii="Times New Roman" w:hAnsi="Times New Roman" w:cs="Times New Roman"/>
          <w:sz w:val="24"/>
          <w:szCs w:val="24"/>
        </w:rPr>
        <w:t>.</w:t>
      </w:r>
    </w:p>
    <w:p w14:paraId="579B6EB9" w14:textId="0E99D0CB" w:rsidR="00641E6F" w:rsidRPr="00641E6F" w:rsidRDefault="00B339EE" w:rsidP="00641E6F">
      <w:pPr>
        <w:numPr>
          <w:ilvl w:val="0"/>
          <w:numId w:val="8"/>
        </w:numPr>
        <w:tabs>
          <w:tab w:val="num"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Examinar</w:t>
      </w:r>
      <w:r w:rsidR="00641E6F" w:rsidRPr="00641E6F">
        <w:rPr>
          <w:rFonts w:ascii="Times New Roman" w:hAnsi="Times New Roman" w:cs="Times New Roman"/>
          <w:sz w:val="24"/>
          <w:szCs w:val="24"/>
        </w:rPr>
        <w:t xml:space="preserve"> los factores sociales y culturales que influyen en su ocurrencia.</w:t>
      </w:r>
    </w:p>
    <w:p w14:paraId="00F38D19" w14:textId="6F7DE49E" w:rsidR="00641E6F" w:rsidRPr="00641E6F" w:rsidRDefault="00F54435" w:rsidP="00641E6F">
      <w:pPr>
        <w:numPr>
          <w:ilvl w:val="0"/>
          <w:numId w:val="8"/>
        </w:numPr>
        <w:tabs>
          <w:tab w:val="num"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Describir las políticas públicas implementadas en Barranquilla </w:t>
      </w:r>
      <w:r w:rsidR="00D40471">
        <w:rPr>
          <w:rFonts w:ascii="Times New Roman" w:hAnsi="Times New Roman" w:cs="Times New Roman"/>
          <w:sz w:val="24"/>
          <w:szCs w:val="24"/>
        </w:rPr>
        <w:t xml:space="preserve">y su área metropolitana </w:t>
      </w:r>
      <w:r>
        <w:rPr>
          <w:rFonts w:ascii="Times New Roman" w:hAnsi="Times New Roman" w:cs="Times New Roman"/>
          <w:sz w:val="24"/>
          <w:szCs w:val="24"/>
        </w:rPr>
        <w:t>para hacer frente a la violencia contras las mujeres y específicamente el feminicidio.</w:t>
      </w:r>
    </w:p>
    <w:p w14:paraId="25FC9EDD" w14:textId="77777777" w:rsidR="00E93A28" w:rsidRDefault="00E93A28" w:rsidP="00E93A28">
      <w:pPr>
        <w:spacing w:line="480" w:lineRule="auto"/>
        <w:jc w:val="both"/>
        <w:rPr>
          <w:rFonts w:ascii="Times New Roman" w:hAnsi="Times New Roman" w:cs="Times New Roman"/>
          <w:sz w:val="24"/>
          <w:szCs w:val="24"/>
        </w:rPr>
      </w:pPr>
    </w:p>
    <w:p w14:paraId="024B120B" w14:textId="77777777" w:rsidR="00E93A28" w:rsidRDefault="00E93A28" w:rsidP="00E93A28">
      <w:pPr>
        <w:spacing w:line="480" w:lineRule="auto"/>
        <w:jc w:val="both"/>
        <w:rPr>
          <w:rFonts w:ascii="Times New Roman" w:hAnsi="Times New Roman" w:cs="Times New Roman"/>
          <w:sz w:val="24"/>
          <w:szCs w:val="24"/>
        </w:rPr>
      </w:pPr>
    </w:p>
    <w:p w14:paraId="391F5B1D" w14:textId="77777777" w:rsidR="00E93A28" w:rsidRDefault="00E93A28" w:rsidP="00E93A28">
      <w:pPr>
        <w:spacing w:line="480" w:lineRule="auto"/>
        <w:jc w:val="both"/>
        <w:rPr>
          <w:rFonts w:ascii="Times New Roman" w:hAnsi="Times New Roman" w:cs="Times New Roman"/>
          <w:sz w:val="24"/>
          <w:szCs w:val="24"/>
        </w:rPr>
      </w:pPr>
    </w:p>
    <w:p w14:paraId="60D64597" w14:textId="77777777" w:rsidR="00E93A28" w:rsidRDefault="00E93A28" w:rsidP="00E93A28">
      <w:pPr>
        <w:spacing w:line="480" w:lineRule="auto"/>
        <w:jc w:val="both"/>
        <w:rPr>
          <w:rFonts w:ascii="Times New Roman" w:hAnsi="Times New Roman" w:cs="Times New Roman"/>
          <w:sz w:val="24"/>
          <w:szCs w:val="24"/>
        </w:rPr>
      </w:pPr>
    </w:p>
    <w:p w14:paraId="39D98260" w14:textId="77777777" w:rsidR="00B9730D" w:rsidRDefault="00B9730D" w:rsidP="00E93A28">
      <w:pPr>
        <w:spacing w:line="480" w:lineRule="auto"/>
        <w:jc w:val="both"/>
        <w:rPr>
          <w:rFonts w:ascii="Times New Roman" w:hAnsi="Times New Roman" w:cs="Times New Roman"/>
          <w:sz w:val="24"/>
          <w:szCs w:val="24"/>
        </w:rPr>
      </w:pPr>
    </w:p>
    <w:p w14:paraId="7B015B51" w14:textId="77777777" w:rsidR="00B9730D" w:rsidRDefault="00B9730D" w:rsidP="00E93A28">
      <w:pPr>
        <w:spacing w:line="480" w:lineRule="auto"/>
        <w:jc w:val="both"/>
        <w:rPr>
          <w:rFonts w:ascii="Times New Roman" w:hAnsi="Times New Roman" w:cs="Times New Roman"/>
          <w:sz w:val="24"/>
          <w:szCs w:val="24"/>
        </w:rPr>
      </w:pPr>
    </w:p>
    <w:p w14:paraId="2703044F" w14:textId="77777777" w:rsidR="00B9730D" w:rsidRDefault="00B9730D" w:rsidP="00E93A28">
      <w:pPr>
        <w:spacing w:line="480" w:lineRule="auto"/>
        <w:jc w:val="both"/>
        <w:rPr>
          <w:rFonts w:ascii="Times New Roman" w:hAnsi="Times New Roman" w:cs="Times New Roman"/>
          <w:sz w:val="24"/>
          <w:szCs w:val="24"/>
        </w:rPr>
      </w:pPr>
    </w:p>
    <w:p w14:paraId="59783CB5" w14:textId="2D498032" w:rsidR="00205ED9" w:rsidRDefault="00205ED9" w:rsidP="00205ED9">
      <w:pPr>
        <w:pStyle w:val="Prrafodelista"/>
        <w:numPr>
          <w:ilvl w:val="0"/>
          <w:numId w:val="8"/>
        </w:num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Marco de Referencia</w:t>
      </w:r>
    </w:p>
    <w:p w14:paraId="71F9B880" w14:textId="77777777" w:rsidR="00205ED9" w:rsidRPr="00205ED9" w:rsidRDefault="00205ED9" w:rsidP="00205ED9">
      <w:pPr>
        <w:pStyle w:val="Prrafodelista"/>
        <w:spacing w:line="480" w:lineRule="auto"/>
        <w:ind w:left="360"/>
        <w:rPr>
          <w:rFonts w:ascii="Times New Roman" w:hAnsi="Times New Roman" w:cs="Times New Roman"/>
          <w:b/>
          <w:bCs/>
          <w:sz w:val="24"/>
          <w:szCs w:val="24"/>
        </w:rPr>
      </w:pPr>
    </w:p>
    <w:p w14:paraId="10ACCB0F" w14:textId="1DA4F850" w:rsidR="006E0813" w:rsidRDefault="00234F65" w:rsidP="00205ED9">
      <w:pPr>
        <w:spacing w:line="48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4</w:t>
      </w:r>
      <w:r w:rsidR="00205ED9">
        <w:rPr>
          <w:rFonts w:ascii="Times New Roman" w:hAnsi="Times New Roman" w:cs="Times New Roman"/>
          <w:b/>
          <w:bCs/>
          <w:sz w:val="24"/>
          <w:szCs w:val="24"/>
        </w:rPr>
        <w:t>.1 Marco Conceptual</w:t>
      </w:r>
    </w:p>
    <w:p w14:paraId="570343EF"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es una manifestación extrema de la violencia de género que refleja patrones estructurales de desigualdad, discriminación y dominación patriarcal. Este concepto, acuñado por la antropóloga feminista Marcela Lagarde, se refiere al asesinato de mujeres por razones de género, en contextos donde se perpetúan relaciones de poder asimétricas entre hombres y mujeres.</w:t>
      </w:r>
    </w:p>
    <w:p w14:paraId="33521226"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Colombia, el feminicidio ha sido tipificado como un delito autónomo a través de la Ley 1761 de 2015, conocida como Ley Rosa Elvira Cely, que reconoce la gravedad de este crimen y la necesidad de abordarlo de manera diferenciada del homicidio común. Esta ley establece agravantes específicos que permiten identificar cuándo un asesinato constituye feminicidio.</w:t>
      </w:r>
    </w:p>
    <w:p w14:paraId="6E8F0BFA"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se enmarca en una serie de factores interrelacionados, como el machismo, la desigualdad de género, la falta de acceso a la justicia, y la impunidad estructural. Estos elementos permiten comprender cómo se normaliza la violencia contra las mujeres en diversos ámbitos, desde el hogar hasta la esfera pública.</w:t>
      </w:r>
    </w:p>
    <w:p w14:paraId="00CB5D4D"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Además, el feminicidio no solo implica la pérdida de vidas humanas, sino también la reproducción de un sistema que perpetúa la violencia simbólica, psicológica y física. La cultura patriarcal, que sostiene la idea de la superioridad masculina, es un factor determinante en la perpetuación de esta problemática.</w:t>
      </w:r>
    </w:p>
    <w:p w14:paraId="14C7009B"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el contexto de Barranquilla y su área metropolitana, el feminicidio se presenta como un problema social de gran magnitud. Las características sociodemográficas de las víctimas, la relación con sus agresores y las condiciones socioeconómicas son variables determinantes para comprender este fenómeno.</w:t>
      </w:r>
    </w:p>
    <w:p w14:paraId="316F058A"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Las estadísticas oficiales y los informes de organizaciones de derechos humanos evidencian un aumento en los casos de feminicidio, lo que subraya la urgencia de implementar políticas públicas eficaces. La falta de una respuesta estatal adecuada contribuye a la perpetuación de la impunidad.</w:t>
      </w:r>
    </w:p>
    <w:p w14:paraId="0B344C33"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perspectiva de género es fundamental para el análisis del feminicidio, ya que permite identificar cómo las construcciones sociales sobre la masculinidad y la feminidad influyen en la reproducción de la violencia. Las teorías feministas aportan herramientas para desentrañar las estructuras de poder que sostienen esta problemática.</w:t>
      </w:r>
    </w:p>
    <w:p w14:paraId="705C002D"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Asimismo, la criminología feminista ofrece un enfoque crítico sobre la respuesta del sistema judicial frente al feminicidio. Se cuestiona la falta de debida diligencia en la investigación de los casos, la revictimización de las mujeres y la ausencia de un enfoque integral que considere las dimensiones estructurales de la violencia de género.</w:t>
      </w:r>
    </w:p>
    <w:p w14:paraId="147FB706"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impunidad es uno de los principales obstáculos para la erradicación del feminicidio, ya que perpetúa la sensación de vulnerabilidad en las mujeres y refuerza la dominación patriarcal. Los fallos judiciales que minimizan la gravedad de estos crímenes contribuyen a la normalización de la violencia.</w:t>
      </w:r>
    </w:p>
    <w:p w14:paraId="029D1602"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marco normativo internacional también desempeña un papel clave en la lucha contra el feminicidio. Instrumentos como la Convención de Belém do Pará y la Convención sobre la Eliminación de Todas las Formas de Discriminación contra la Mujer (CEDAW) establecen obligaciones para los Estados en la prevención, sanción y erradicación de la violencia de género.</w:t>
      </w:r>
    </w:p>
    <w:p w14:paraId="5F62006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Estos tratados internacionales han influido en la legislación colombiana y en la formulación de políticas públicas orientadas a la protección de los derechos de las mujeres. La adopción de estándares internacionales es crucial para garantizar una respuesta efectiva ante el feminicidio.</w:t>
      </w:r>
    </w:p>
    <w:p w14:paraId="4DB53ED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también puede analizarse desde la teoría de la violencia estructural, propuesta por Johan Galtung, que sostiene que la violencia no se limita a actos físicos directos, sino que también se manifiesta en las estructuras sociales que generan y perpetúan la desigualdad.</w:t>
      </w:r>
    </w:p>
    <w:p w14:paraId="3D379D89"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este sentido, el feminicidio es el resultado de un entramado de violencias simbólicas, culturales e institucionales que configuran un escenario propicio para la vulneración de los derechos de las mujeres. La violencia económica y la falta de oportunidades también son factores que contribuyen a esta problemática.</w:t>
      </w:r>
    </w:p>
    <w:p w14:paraId="19A360CC"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análisis del feminicidio debe considerar la interseccionalidad, es decir, cómo factores como la raza, la clase social y la orientación sexual intersectan para aumentar la vulnerabilidad de ciertas mujeres. Este enfoque permite comprender la complejidad del fenómeno y diseñar respuestas más inclusivas.</w:t>
      </w:r>
    </w:p>
    <w:p w14:paraId="2BC52549"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íntimo, cometido por parejas o exparejas, es una de las formas más comunes de este delito. Sin embargo, también existen feminicidios no íntimos, donde el agresor no tiene una relación personal con la víctima, lo que evidencia la amplitud del problema.</w:t>
      </w:r>
    </w:p>
    <w:p w14:paraId="45343DAE"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Las dinámicas de poder y control son centrales en la comprensión del feminicidio. En muchos casos, el asesinato es el desenlace de un ciclo de violencia que incluye abuso psicológico, físico y económico. La falta de redes de apoyo y la dependencia económica dificultan la salida de las víctimas de estas situaciones.</w:t>
      </w:r>
    </w:p>
    <w:p w14:paraId="002F2617"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educación en igualdad de género es una herramienta fundamental para prevenir el feminicidio. Programas educativos que promuevan el respeto y la equidad pueden contribuir a cambiar las actitudes y creencias que sostienen la violencia de género.</w:t>
      </w:r>
    </w:p>
    <w:p w14:paraId="2BD4E6B8"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prevención del feminicidio implica no solo la sanción efectiva de los responsables, sino también la transformación de los patrones socioculturales que perpetúan la violencia de género. La promoción de una cultura de paz y respeto es esencial para erradicar este flagelo.</w:t>
      </w:r>
    </w:p>
    <w:p w14:paraId="21A3FAB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es un problema de derechos humanos que requiere una respuesta integral. La colaboración entre el Estado, la sociedad civil y la comunidad internacional es fundamental para garantizar la protección de las mujeres y la erradicación de la violencia de género.</w:t>
      </w:r>
    </w:p>
    <w:p w14:paraId="2AD4EBA2" w14:textId="77777777" w:rsid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Finalmente, la erradicación del feminicidio requiere un compromiso sostenido y la implementación de políticas públicas basadas en la evidencia. Solo a través de un enfoque integral y multisectorial será posible construir una sociedad más justa e igualitaria.</w:t>
      </w:r>
    </w:p>
    <w:p w14:paraId="2189A077" w14:textId="380BB9F8" w:rsidR="00205ED9" w:rsidRDefault="00234F65" w:rsidP="00D92E2B">
      <w:pPr>
        <w:spacing w:line="48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4</w:t>
      </w:r>
      <w:r w:rsidR="00205ED9">
        <w:rPr>
          <w:rFonts w:ascii="Times New Roman" w:hAnsi="Times New Roman" w:cs="Times New Roman"/>
          <w:b/>
          <w:bCs/>
          <w:sz w:val="24"/>
          <w:szCs w:val="24"/>
        </w:rPr>
        <w:t>.2 Marco Teórico</w:t>
      </w:r>
    </w:p>
    <w:p w14:paraId="61F5B1A6"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El feminicidio, entendido como el asesinato de mujeres por razones de género, representa una de las manifestaciones más extremas de la violencia de género. Este fenómeno no solo refleja actos individuales de violencia, sino que también evidencia estructuras sociales y culturales que perpetúan la desigualdad y la discriminación hacia las mujeres. Según la Ley 1761 de 2015 en Colombia, el feminicidio se tipifica como un delito autónomo, reconociendo la necesidad de abordar esta problemática desde una perspectiva legal y social específica.</w:t>
      </w:r>
    </w:p>
    <w:p w14:paraId="6FF79117"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En Colombia, el feminicidio ha sido una preocupación creciente, con cifras alarmantes que reflejan la magnitud del problema. Barranquilla y su área metropolitana no son ajenas a esta realidad. Estudios han señalado que factores como la urbanización acelerada, la desigualdad socioeconómica y la persistencia de patrones culturales machistas contribuyen a la prevalencia de la violencia de género en la región. La identificación de las características sociodemográficas de las víctimas es esencial para comprender las dinámicas específicas del feminicidio en este contexto.</w:t>
      </w:r>
    </w:p>
    <w:p w14:paraId="3EB20B7E"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La edad de las víctimas de feminicidio en Barranquilla y su área metropolitana muestra una concentración significativa en mujeres jóvenes, particularmente entre los 20 y 39 años. Esta franja etaria coincide con etapas de la vida en las que las mujeres suelen establecer relaciones de pareja, formar familias y asumir responsabilidades laborales. La combinación de estas circunstancias puede aumentar la exposición a situaciones de violencia, especialmente en contextos donde persisten relaciones de poder desiguales y controladoras.</w:t>
      </w:r>
    </w:p>
    <w:p w14:paraId="0951AD80"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El nivel educativo de las víctimas es otro factor relevante en el análisis del feminicidio. Muchas de las mujeres asesinadas tenían niveles educativos bajos o incompletos, lo que puede limitar su acceso a información, recursos y redes de apoyo. La falta de educación también puede dificultar la identificación de situaciones de violencia y la búsqueda de ayuda. Sin embargo, es importante destacar que el feminicidio afecta a mujeres de todos los niveles educativos, lo que indica que la educación, aunque protectora, no es una garantía absoluta contra la violencia de género.</w:t>
      </w:r>
    </w:p>
    <w:p w14:paraId="7DFE7D7F" w14:textId="77777777" w:rsidR="00234F65" w:rsidRDefault="00205ED9" w:rsidP="00234F65">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La situación laboral y económica de las víctimas también influye en su vulnerabilidad frente al feminicidio. Muchas mujeres asesinadas se encontraban en situaciones de desempleo, empleo informal o dependencia económica de sus parejas. Esta precariedad económica puede dificultar la salida de relaciones abusivas y limitar el acceso a recursos de protección. Además, la falta de autonomía financiera puede ser utilizada por los agresores como una herramienta de control y sometimiento.</w:t>
      </w:r>
    </w:p>
    <w:p w14:paraId="51BE859D" w14:textId="591B0E3F" w:rsidR="00205ED9" w:rsidRPr="00205ED9" w:rsidRDefault="00205ED9" w:rsidP="00234F65">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Estado civil y relaciones de pareja: el ámbito íntimo como escenario de violencia</w:t>
      </w:r>
    </w:p>
    <w:p w14:paraId="701EE807" w14:textId="17F1A373"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El estado civil de las víctimas revela que muchas de ellas estaban en relaciones de pareja, ya sea en unión libre o matrimonio. La mayoría de los feminicidios fueron perpetrados por parejas o exparejas sentimentales, lo que indica que el ámbito íntimo es un escenario común de violencia letal. Estas relaciones a menudo estaban marcadas por dinámicas de control, celos y violencia previa, lo que subraya la importancia de identificar y abordar señales tempranas de abuso.</w:t>
      </w:r>
    </w:p>
    <w:p w14:paraId="6CB83AF8"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La pertenencia étnica y el nivel socioeconómico de las víctimas también son variables críticas en el análisis del feminicidio. Mujeres afrodescendientes, indígenas y de estratos socioeconómicos bajos enfrentan múltiples formas de discriminación y exclusión, lo que puede aumentar su vulnerabilidad a la violencia de género. La falta de acceso a servicios de salud, justicia y protección en comunidades marginadas agrava esta situación, creando entornos donde la violencia puede perpetuarse con impunidad.</w:t>
      </w:r>
    </w:p>
    <w:p w14:paraId="1005AF66" w14:textId="77777777"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El lugar de residencia de las víctimas muestra una concentración de casos en sectores periféricos y de alta vulnerabilidad social en Barranquilla y su área metropolitana. Estas zonas suelen caracterizarse por una limitada presencia institucional, infraestructura deficiente y altos índices de pobreza. La combinación de estos factores crea un entorno propicio para la violencia de género, donde las víctimas tienen menos posibilidades de acceder a recursos de protección y justicia.</w:t>
      </w:r>
    </w:p>
    <w:p w14:paraId="75BE8AA8" w14:textId="1D9708C3" w:rsidR="00205ED9" w:rsidRPr="00205ED9" w:rsidRDefault="00205ED9" w:rsidP="00205ED9">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El feminicidio no puede entenderse sin considerar los factores culturales y sociales que lo sustentan. El machismo estructural, las normas de género tradicionales y la tolerancia social hacia la violencia contra las mujeres son elementos que perpetúan este fenómeno. En Barranquilla, como en muchas otras regiones, estas actitudes culturales contribuyen a la normalización de la violencia y a la falta de respuesta efectiva por parte de las instituciones.</w:t>
      </w:r>
    </w:p>
    <w:p w14:paraId="49BE2DDD" w14:textId="4637D3CB" w:rsidR="00D92E2B" w:rsidRDefault="00205ED9" w:rsidP="00A22900">
      <w:pPr>
        <w:spacing w:line="480" w:lineRule="auto"/>
        <w:ind w:firstLine="720"/>
        <w:jc w:val="both"/>
        <w:rPr>
          <w:rFonts w:ascii="Times New Roman" w:hAnsi="Times New Roman" w:cs="Times New Roman"/>
          <w:sz w:val="24"/>
          <w:szCs w:val="24"/>
        </w:rPr>
      </w:pPr>
      <w:r w:rsidRPr="00205ED9">
        <w:rPr>
          <w:rFonts w:ascii="Times New Roman" w:hAnsi="Times New Roman" w:cs="Times New Roman"/>
          <w:sz w:val="24"/>
          <w:szCs w:val="24"/>
        </w:rPr>
        <w:t>A pesar de los avances legislativos en Colombia, como la Ley 1761 de 2015, persisten desafíos significativos en la implementación de políticas de prevención y protección contra el feminicidio. Las víctimas enfrentan barreras para acceder a la justicia, como la revictimización, la falta de sensibilidad de las autoridades y la ineficacia de las medidas de protección. Estas deficiencias institucionales contribuyen a la impunidad y a la repetición de los crímenes.</w:t>
      </w:r>
    </w:p>
    <w:p w14:paraId="28EC283D" w14:textId="77777777" w:rsidR="00A22900" w:rsidRDefault="00A22900" w:rsidP="00A22900">
      <w:pPr>
        <w:spacing w:line="480" w:lineRule="auto"/>
        <w:ind w:firstLine="720"/>
        <w:jc w:val="both"/>
        <w:rPr>
          <w:rFonts w:ascii="Times New Roman" w:hAnsi="Times New Roman" w:cs="Times New Roman"/>
          <w:sz w:val="24"/>
          <w:szCs w:val="24"/>
        </w:rPr>
      </w:pPr>
    </w:p>
    <w:p w14:paraId="2EC8A2AB" w14:textId="465CA714" w:rsidR="00D92E2B" w:rsidRDefault="00234F65" w:rsidP="00205ED9">
      <w:pPr>
        <w:spacing w:line="48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4</w:t>
      </w:r>
      <w:r w:rsidR="00205ED9">
        <w:rPr>
          <w:rFonts w:ascii="Times New Roman" w:hAnsi="Times New Roman" w:cs="Times New Roman"/>
          <w:b/>
          <w:bCs/>
          <w:sz w:val="24"/>
          <w:szCs w:val="24"/>
        </w:rPr>
        <w:t>.3 Marco Histórico</w:t>
      </w:r>
    </w:p>
    <w:p w14:paraId="5893BD1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en Colombia tiene raíces históricas que se remontan a la época colonial, donde las mujeres eran consideradas propiedad de los hombres y su valor estaba determinado por su rol reproductivo y doméstico. Esta visión patriarcal se mantuvo durante siglos, consolidando una cultura de desigualdad y subordinación que ha perdurado hasta la actualidad.</w:t>
      </w:r>
    </w:p>
    <w:p w14:paraId="36C8FA69"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el siglo XIX, las mujeres colombianas comenzaron a organizarse para reclamar sus derechos, aunque enfrentaron una fuerte resistencia por parte de una sociedad profundamente machista. Las luchas por la educación y el derecho al voto fueron algunos de los primeros pasos hacia la visibilización de las desigualdades de género.</w:t>
      </w:r>
    </w:p>
    <w:p w14:paraId="573B61B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siglo XX marcó un hito en la legislación colombiana con la promulgación de leyes que reconocían algunos derechos para las mujeres, como el acceso a la educación superior y la participación en la vida política. Sin embargo, la violencia de género continuó siendo un problema invisible para el Estado.</w:t>
      </w:r>
    </w:p>
    <w:p w14:paraId="1C1F8B16"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década de 1990 representó un avance significativo con la aprobación de la Ley 294 de 1996, que abordó la violencia intrafamiliar. Esta normativa fue el primer reconocimiento legal de la violencia de género como un problema que requería una intervención estatal.</w:t>
      </w:r>
    </w:p>
    <w:p w14:paraId="01277EEC"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el contexto del conflicto armado interno, la violencia contra las mujeres se agravó de manera alarmante. Las mujeres fueron utilizadas como botín de guerra, sufriendo violaciones, desplazamiento forzado y feminicidios por parte de todos los actores del conflicto.</w:t>
      </w:r>
    </w:p>
    <w:p w14:paraId="633CD27D"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caso de Rosa Elvira Cely en 2012 marcó un punto de inflexión en la conciencia social sobre el feminicidio en Colombia. Su asesinato brutal generó una ola de indignación que derivó en la aprobación de la Ley 1761 de 2015, conocida como Ley Rosa Elvira Cely, que tipificó el feminicidio como un delito autónomo.</w:t>
      </w:r>
    </w:p>
    <w:p w14:paraId="2F63EC7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Barranquilla y su área metropolitana, el feminicidio ha estado presente como una forma de violencia que refleja las tensiones sociales y culturales de la región. El crecimiento urbano, la desigualdad socioeconómica y la falta de acceso a servicios públicos de calidad han contribuido a la perpetuación de la violencia de género.</w:t>
      </w:r>
    </w:p>
    <w:p w14:paraId="277260A0"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período comprendido entre 2020 y 2024 ha sido especialmente crítico para el análisis del feminicidio en Barranquilla. La pandemia de COVID-19 exacerbó las desigualdades existentes, aumentando los casos de violencia doméstica y feminicidio debido al confinamiento y la falta de redes de apoyo.</w:t>
      </w:r>
    </w:p>
    <w:p w14:paraId="69F1AF17"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Las estadísticas oficiales reflejan un incremento alarmante de estos crímenes, lo que pone de manifiesto la necesidad de fortalecer las políticas públicas de prevención y protección. La respuesta institucional ha sido limitada, lo que ha favorecido la impunidad y la revictimización de las mujeres.</w:t>
      </w:r>
    </w:p>
    <w:p w14:paraId="77D704CE"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papel de las organizaciones de la sociedad civil ha sido fundamental en la visibilización del feminicidio y en la exigencia de justicia para las víctimas. Los colectivos feministas han liderado movilizaciones y campañas de sensibilización, denunciando la falta de respuesta estatal.</w:t>
      </w:r>
    </w:p>
    <w:p w14:paraId="0EE051EB"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A nivel internacional, Colombia ha sido objeto de recomendaciones por parte de organismos como la Comisión Interamericana de Derechos Humanos (CIDH) y la Organización de las Naciones Unidas (ONU), que han instado al país a adoptar medidas más efectivas para prevenir y sancionar el feminicidio.</w:t>
      </w:r>
    </w:p>
    <w:p w14:paraId="4EB35A3E"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Estos pronunciamientos han contribuido a la incorporación de un enfoque de género en las políticas públicas y en el sistema de justicia. Sin embargo, la implementación de estas recomendaciones ha sido desigual y enfrenta numerosos desafíos.</w:t>
      </w:r>
    </w:p>
    <w:p w14:paraId="5199ED5D"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feminicidio no es un fenómeno nuevo, pero su visibilización y reconocimiento legal son relativamente recientes. Durante décadas, estos crímenes fueron clasificados como homicidios comunes, lo que invisibilizaba la dimensión de género en la violencia letal contra las mujeres.</w:t>
      </w:r>
    </w:p>
    <w:p w14:paraId="1933F7C2"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activismo feminista ha desempeñado un papel crucial en la lucha contra el feminicidio, tanto a nivel local como global. Las marchas y manifestaciones, como el movimiento "Ni Una Menos", han logrado colocar este tema en la agenda pública y política.</w:t>
      </w:r>
    </w:p>
    <w:p w14:paraId="79B48153"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Barranquilla, las historias de mujeres asesinadas por razones de género han resonado en la conciencia colectiva, impulsando cambios en la opinión pública y en la legislación. Sin embargo, queda mucho por hacer para erradicar esta forma extrema de violencia.</w:t>
      </w:r>
    </w:p>
    <w:p w14:paraId="1CD241AB"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La historia del feminicidio en Colombia está marcada por una lucha constante por el reconocimiento y la justicia. Cada avance legal ha sido el resultado de la presión social y la resiliencia de las mujeres que se niegan a aceptar la violencia como un destino inevitable.</w:t>
      </w:r>
    </w:p>
    <w:p w14:paraId="492E01FB" w14:textId="77777777" w:rsidR="00D92E2B" w:rsidRP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El análisis histórico del feminicidio revela la necesidad de abordar esta problemática desde una perspectiva integral que considere tanto los factores estructurales como las dinámicas culturales. Solo así será posible comprender y combatir eficazmente esta forma de violencia.</w:t>
      </w:r>
    </w:p>
    <w:p w14:paraId="050ED141" w14:textId="77777777" w:rsidR="00D92E2B" w:rsidRDefault="00D92E2B" w:rsidP="00D92E2B">
      <w:pPr>
        <w:spacing w:line="480" w:lineRule="auto"/>
        <w:ind w:firstLine="720"/>
        <w:jc w:val="both"/>
        <w:rPr>
          <w:rFonts w:ascii="Times New Roman" w:hAnsi="Times New Roman" w:cs="Times New Roman"/>
          <w:sz w:val="24"/>
          <w:szCs w:val="24"/>
        </w:rPr>
      </w:pPr>
      <w:r w:rsidRPr="00D92E2B">
        <w:rPr>
          <w:rFonts w:ascii="Times New Roman" w:hAnsi="Times New Roman" w:cs="Times New Roman"/>
          <w:sz w:val="24"/>
          <w:szCs w:val="24"/>
        </w:rPr>
        <w:t>En conclusión, el feminicidio en Barranquilla y en Colombia es el reflejo de una historia de desigualdad y violencia que debe ser confrontada con políticas públicas sólidas, educación en derechos humanos y un compromiso inquebrantable con la justicia y la igualdad de género.</w:t>
      </w:r>
    </w:p>
    <w:p w14:paraId="4786F108" w14:textId="77777777" w:rsidR="00461045" w:rsidRDefault="00461045" w:rsidP="00D92E2B">
      <w:pPr>
        <w:spacing w:line="480" w:lineRule="auto"/>
        <w:ind w:firstLine="720"/>
        <w:jc w:val="both"/>
        <w:rPr>
          <w:rFonts w:ascii="Times New Roman" w:hAnsi="Times New Roman" w:cs="Times New Roman"/>
          <w:sz w:val="24"/>
          <w:szCs w:val="24"/>
        </w:rPr>
      </w:pPr>
    </w:p>
    <w:p w14:paraId="4D344E10" w14:textId="07FBFE07" w:rsidR="00461045" w:rsidRPr="00461045" w:rsidRDefault="00234F65" w:rsidP="00D92E2B">
      <w:pPr>
        <w:spacing w:line="48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4</w:t>
      </w:r>
      <w:r w:rsidR="00461045" w:rsidRPr="00461045">
        <w:rPr>
          <w:rFonts w:ascii="Times New Roman" w:hAnsi="Times New Roman" w:cs="Times New Roman"/>
          <w:b/>
          <w:bCs/>
          <w:sz w:val="24"/>
          <w:szCs w:val="24"/>
        </w:rPr>
        <w:t>.4 Marco Jurídico</w:t>
      </w:r>
    </w:p>
    <w:p w14:paraId="2E113BE9" w14:textId="225BC5D7" w:rsidR="00461045" w:rsidRPr="00461045" w:rsidRDefault="00461045" w:rsidP="00461045">
      <w:pPr>
        <w:spacing w:line="480" w:lineRule="auto"/>
        <w:ind w:firstLine="720"/>
        <w:rPr>
          <w:rFonts w:ascii="Times New Roman" w:hAnsi="Times New Roman" w:cs="Times New Roman"/>
          <w:sz w:val="24"/>
          <w:szCs w:val="24"/>
        </w:rPr>
      </w:pPr>
      <w:r w:rsidRPr="00461045">
        <w:rPr>
          <w:rFonts w:ascii="Times New Roman" w:hAnsi="Times New Roman" w:cs="Times New Roman"/>
          <w:sz w:val="24"/>
          <w:szCs w:val="24"/>
        </w:rPr>
        <w:t>El marco jurídico colombiano en materia de feminicidio se fundamenta en la Constitución Política de 1991, que establece la igualdad de derechos y la prohibición de toda forma de discriminación. El artículo 13 consagra el derecho a la igualdad y la obligación del Estado de promover condiciones para que la igualdad sea real y efectiva, prohibiendo expresamente la discriminación por razones de sexo. Asimismo, el artículo 42 reconoce la igualdad de derechos y deberes en las relaciones familiares, y establece que cualquier forma de violencia intrafamiliar será sancionada. Estos principios constitucionales sientan las bases para el desarrollo de una legislación específica que aborde la violencia contra las mujeres y, en particular, el feminicidio.</w:t>
      </w:r>
    </w:p>
    <w:p w14:paraId="76C16E29"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A07D45">
        <w:rPr>
          <w:rFonts w:ascii="Times New Roman" w:eastAsia="Times New Roman" w:hAnsi="Times New Roman" w:cs="Times New Roman"/>
          <w:kern w:val="0"/>
          <w:sz w:val="24"/>
          <w:szCs w:val="24"/>
          <w:lang w:eastAsia="es-CO"/>
          <w14:ligatures w14:val="none"/>
        </w:rPr>
        <w:t>El feminicidio es reconocido como un delito autónomo en Colombia desde la promulgación de la Ley 1761 de 2015, también conocida como Ley Rosa Elvira Cely. Esta normativa fue creada para sancionar los homicidios de mujeres cometidos por razones de género y para resaltar las dinámicas sociales que subyacen en estos crímenes, como el machismo, la discriminación y las desigualdades estructurales. Con esta ley, se establece que los feminicidios deben ser tratados de manera diferenciada al homicidio común, debido a su conexión con patrones culturales de violencia contra las mujeres.</w:t>
      </w:r>
    </w:p>
    <w:p w14:paraId="75AC02AB"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Corte Constitucional, mediante la Sentencia C-539 de 2016, ratificó la constitucionalidad de la Ley 1761. En este fallo, la Corte argumentó que el feminicidio no solo busca sancionar el asesinato de mujeres, sino también visibilizar las desigualdades de poder que perpetúan esta forma de violencia. Además, se estableció que la perspectiva de género debe ser un eje transversal en la interpretación y aplicación de esta normativa. Esto es clave en un país como Colombia, donde las desigualdades de género son aún profundas y afectan la vida de millones de mujeres.</w:t>
      </w:r>
    </w:p>
    <w:p w14:paraId="62EF49FD"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Dentro de los aspectos más destacados de la Ley Rosa Elvira Cely, se encuentra la inclusión de agravantes que endurecen las penas por feminicidio en casos específicos. Por ejemplo, si el crimen ocurre en presencia de menores de edad, si existe una relación de poder entre la víctima y el agresor, o si se emplean medios particularmente crueles, la pena puede aumentar significativamente. Esta diferenciación refuerza el enfoque de género y subraya la gravedad del feminicidio en contextos de violencia sistemática.</w:t>
      </w:r>
    </w:p>
    <w:p w14:paraId="10F65018"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Además de la legislación nacional, Colombia ha ratificado instrumentos internacionales como la Convención de Belém do Pará, que obliga a los Estados a prevenir, sancionar y erradicar todas las formas de violencia contra las mujeres. Este marco normativo internacional establece principios que complementan la legislación nacional, como la necesidad de garantizar medidas efectivas de protección y reparación para las víctimas y sus familias. En este sentido, la Ley 1761 es una respuesta del Estado colombiano a las exigencias internacionales en materia de derechos humanos.</w:t>
      </w:r>
    </w:p>
    <w:p w14:paraId="546B72BF"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Corte Suprema de Justicia, en la Sentencia SP3993-2022, destacó la importancia de diferenciar el feminicidio de otros crímenes contra las mujeres. En esta decisión, se precisaron los elementos esenciales para identificar este delito, subrayando que el feminicidio no se define únicamente por el género de la víctima, sino también por el contexto de odio, desprecio o violencia estructural que lo rodea. Este fallo reafirmó la necesidad de incorporar un enfoque de género en los procesos judiciales relacionados con feminicidios.</w:t>
      </w:r>
    </w:p>
    <w:p w14:paraId="391DF4E9"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Sin embargo, la implementación de la Ley Rosa Elvira Cely enfrenta desafíos significativos. Informes de la Fiscalía General de la Nación revelan que un porcentaje considerable de los casos de feminicidio en el país no culminan en condenas. Entre 2020 y 2024, en Barranquilla y su área metropolitana, la impunidad sigue siendo alta, debido a la falta de pruebas contundentes, la insuficiencia de recursos judiciales y la revictimización de las denunciantes. Esto pone en evidencia las limitaciones del sistema judicial para abordar esta problemática de manera efectiva.</w:t>
      </w:r>
    </w:p>
    <w:p w14:paraId="4D495B39"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Sentencia T-344 de 2020, emitida por la Corte Constitucional, ordenó a las autoridades judiciales fortalecer las medidas de protección para las mujeres en riesgo y garantizar un acceso efectivo a la justicia para las víctimas de feminicidio. Este fallo subraya la importancia de abordar el feminicidio no solo como un delito individual, sino también como una manifestación de desigualdades estructurales que deben ser combatidas de manera integral. Además, se enfatizó la necesidad de ofrecer reparaciones integrales a las familias de las víctimas.</w:t>
      </w:r>
    </w:p>
    <w:p w14:paraId="123D659D"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Un avance significativo de la Ley 1761 es la obligatoriedad de registrar los feminicidios como un delito autónomo en las estadísticas nacionales. Esto ha permitido identificar patrones y tendencias en los crímenes de género, facilitando el diseño de políticas públicas específicas. Sin embargo, activistas y académicos, como Beatriz Paredes (2019), señalan que las estadísticas oficiales aún son insuficientes para capturar la magnitud real del feminicidio, especialmente en regiones con limitaciones en la recolección de datos.</w:t>
      </w:r>
    </w:p>
    <w:p w14:paraId="586FEB96"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El caso "Campo Algodonero vs. México", resuelto por la Corte Interamericana de Derechos Humanos, sirve como referencia para la jurisprudencia nacional en materia de feminicidios. Este fallo establece que la impunidad en los crímenes de género perpetúa la discriminación y el machismo estructural. Aunque el caso es específico de México, sus principios han sido adoptados en Colombia para reforzar la obligación del Estado de garantizar justicia y reparación en casos de feminicidio.</w:t>
      </w:r>
    </w:p>
    <w:p w14:paraId="58ADB222"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A nivel local, Barranquilla y su área metropolitana enfrentan retos particulares en la implementación de la Ley Rosa Elvira Cely. Estudios recientes, como el de Rincón y Serje (2021), destacan que las dinámicas sociales de la región, combinadas con un sistema judicial sobrecargado, generan condiciones propicias para la impunidad. Estas limitaciones evidencian la necesidad de fortalecer las instituciones locales y adaptar las políticas públicas a los contextos específicos de cada territorio.</w:t>
      </w:r>
    </w:p>
    <w:p w14:paraId="1A97979F"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pandemia de COVID-19 también tuvo un impacto significativo en la dinámica del feminicidio en Colombia. Durante los confinamientos obligatorios, muchas mujeres quedaron atrapadas en situaciones de violencia doméstica, sin acceso a redes de apoyo ni a mecanismos de protección. Según Rodríguez Blanco (2022), esta crisis sanitaria exacerbó los factores de riesgo asociados al feminicidio, aumentando los casos registrados en ciudades como Barranquilla.</w:t>
      </w:r>
    </w:p>
    <w:p w14:paraId="44A07D5D"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El feminicidio, como lo define Marcela Lagarde (2008), es una forma extrema de violencia de género que refleja las desigualdades estructurales de una sociedad. En Colombia, esta problemática no puede ser entendida sin considerar el contexto sociocultural que perpetúa la discriminación y el machismo. Por ello, es fundamental que las políticas públicas no solo se centren en la sanción, sino también en la prevención y la transformación de las dinámicas sociales que permiten estos crímenes.</w:t>
      </w:r>
    </w:p>
    <w:p w14:paraId="0C5D7431" w14:textId="0F15ECE4"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En conclusión, aunque Colombia cuenta con un marco normativo robusto para sancionar el feminicidio, su implementación enfrenta múltiples retos. La falta de recursos en el sistema judicial, la insuficiente capacitación de los operadores de justicia y la revictimización de las denunciantes son obstáculos que deben ser superados. La Ley Rosa Elvira Cely es un avance importante, pero su impacto real dependerá de un compromiso sostenido por parte del Estado y de la sociedad para garantizar la igualdad de género y erradicar la violencia contra las mujeres.</w:t>
      </w:r>
    </w:p>
    <w:p w14:paraId="2C5B9914"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respuesta institucional frente al feminicidio en Colombia ha sido objeto de múltiples críticas, pese a los avances normativos. Uno de los principales retos es garantizar que las leyes y políticas públicas diseñadas para proteger a las mujeres se implementen de manera efectiva. La Ley 1761 de 2015, aunque innovadora, enfrenta limitaciones significativas en términos de recursos, formación de los operadores judiciales y sensibilización en la perspectiva de género. Estas carencias han permitido que persista un alto índice de impunidad en los casos de feminicidio.</w:t>
      </w:r>
    </w:p>
    <w:p w14:paraId="510C4FAF"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En la Sentencia T-344 de 2020, la Corte Constitucional resaltó la importancia de adoptar un enfoque de género en todos los niveles del sistema judicial. Este fallo ordenó a las autoridades reforzar las medidas de protección para las mujeres en situación de riesgo, asegurando que las instituciones actúen con la debida diligencia al investigar, juzgar y sancionar los feminicidios. Además, se destacó que los procesos judiciales deben evitar la revictimización de las mujeres y sus familias, un problema recurrente en los procedimientos penales.</w:t>
      </w:r>
    </w:p>
    <w:p w14:paraId="6059C7FC"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Barranquilla y su área metropolitana enfrentan retos particulares en la implementación de políticas públicas contra el feminicidio. La región, caracterizada por su diversidad cultural y su acelerado crecimiento urbano, ha experimentado un aumento en los casos de violencia de género entre 2020 y 2024. Según estudios locales, las dinámicas sociales y culturales, junto con la precariedad institucional, dificultan la prevención de estos crímenes. La Fiscalía General de la Nación ha reportado una alta tasa de impunidad en los feminicidios registrados en esta zona.</w:t>
      </w:r>
    </w:p>
    <w:p w14:paraId="6F59FF76"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Un aspecto crítico en la respuesta institucional es la falta de capacitación de los funcionarios encargados de atender estos casos. La Sentencia SP3993-2022 de la Corte Suprema de Justicia subrayó que los jueces y fiscales deben aplicar una interpretación con enfoque de género para garantizar que los casos de feminicidio sean tratados adecuadamente. Esto incluye reconocer las dinámicas específicas de violencia de género y adoptar medidas que promuevan la reparación integral de las víctimas y sus familias.</w:t>
      </w:r>
    </w:p>
    <w:p w14:paraId="6AAA47CD"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jurisprudencia ha desempeñado un papel clave en el fortalecimiento del marco normativo para combatir el feminicidio. La Sentencia C-539 de 2016 no solo validó la constitucionalidad de la Ley 1761, sino que también destacó la importancia de visibilizar las desigualdades estructurales que subyacen en estos crímenes. La Corte Constitucional enfatizó que el feminicidio debe ser entendido como una manifestación de la discriminación histórica y estructural contra las mujeres, lo que requiere una respuesta integral por parte del Estado.</w:t>
      </w:r>
    </w:p>
    <w:p w14:paraId="21918015"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Otro elemento fundamental en la lucha contra el feminicidio es la articulación interinstitucional. Las entidades gubernamentales, las organizaciones de la sociedad civil y los organismos internacionales deben trabajar de manera coordinada para garantizar una respuesta efectiva. En Barranquilla, las ONG han desempeñado un papel crucial en la atención y acompañamiento de las víctimas, pero sus esfuerzos a menudo se ven limitados por la falta de apoyo estatal y de recursos financieros.</w:t>
      </w:r>
    </w:p>
    <w:p w14:paraId="65EB5BBA"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Convención de Belém do Pará, ratificada por Colombia, establece estándares internacionales que guían la respuesta institucional frente a la violencia contra las mujeres. Este instrumento subraya la obligación de los Estados de adoptar medidas efectivas para prevenir, sancionar y erradicar estos crímenes. En casos como el de "Campo Algodonero vs. México", la Corte Interamericana de Derechos Humanos enfatizó que la impunidad perpetúa la discriminación estructural y socava los derechos fundamentales de las mujeres.</w:t>
      </w:r>
    </w:p>
    <w:p w14:paraId="4169B372" w14:textId="77777777" w:rsid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En el contexto de Barranquilla, la pandemia de COVID-19 exacerbó las vulnerabilidades de las mujeres frente a la violencia de género. Durante el confinamiento, muchas quedaron atrapadas con sus agresores sin acceso a redes de apoyo o protección institucional. Esto incrementó los casos de feminicidio y puso en evidencia las debilidades de las políticas públicas para abordar emergencias relacionadas con la violencia de género, tal como lo documentó Rodríguez Blanco (2022) en su análisis regional.</w:t>
      </w:r>
    </w:p>
    <w:p w14:paraId="322BEC3F" w14:textId="2E530168"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falta de recursos en el sistema judicial es otra barrera significativa para combatir el feminicidio. Según informes de la Fiscalía General de la Nación, la escasez de personal especializado, la acumulación de casos y la falta de infraestructura adecuada dificultan la investigación y el juzgamiento de estos crímenes. Esta situación refuerza la necesidad de destinar más presupuesto a la formación de funcionarios y al fortalecimiento de las instituciones encargadas de atender casos de feminicidio.</w:t>
      </w:r>
    </w:p>
    <w:p w14:paraId="5A130839"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En términos de reparación, la Sentencia T-344 de 2020 establece que las víctimas y sus familias tienen derecho a una reparación integral que incluya apoyo psicológico, indemnización económica y garantías de no repetición. Estas medidas son esenciales para restaurar la dignidad de las víctimas y para construir una sociedad más justa y equitativa. Sin embargo, la implementación de estas garantías sigue siendo limitada, especialmente en contextos locales.</w:t>
      </w:r>
    </w:p>
    <w:p w14:paraId="272F5CA8"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A pesar de las limitaciones, algunas iniciativas han demostrado ser efectivas en la lucha contra el feminicidio. Por ejemplo, los programas de sensibilización y educación en derechos humanos han contribuido a aumentar la conciencia sobre la violencia de género y la necesidad de erradicarla. Estos esfuerzos deben ser fortalecidos y replicados en todo el país para garantizar un impacto sostenido.</w:t>
      </w:r>
    </w:p>
    <w:p w14:paraId="5F026CB9" w14:textId="77777777" w:rsidR="00461045" w:rsidRPr="00FB63D0"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La revictimización de las mujeres en los procesos judiciales sigue siendo un problema persistente. Las investigaciones muestran que muchas mujeres enfrentan prejuicios y estigmatización por parte de las autoridades encargadas de investigar los casos de feminicidio. Este fenómeno no solo desalienta a las víctimas de buscar justicia, sino que también perpetúa la cultura de impunidad.</w:t>
      </w:r>
    </w:p>
    <w:p w14:paraId="781B0C47" w14:textId="73C6FB64" w:rsidR="00234F65" w:rsidRDefault="00461045" w:rsidP="00173545">
      <w:pPr>
        <w:spacing w:after="0" w:line="480" w:lineRule="auto"/>
        <w:ind w:firstLine="720"/>
        <w:jc w:val="both"/>
        <w:rPr>
          <w:rFonts w:ascii="Times New Roman" w:eastAsia="Times New Roman" w:hAnsi="Times New Roman" w:cs="Times New Roman"/>
          <w:kern w:val="0"/>
          <w:sz w:val="24"/>
          <w:szCs w:val="24"/>
          <w:lang w:eastAsia="es-CO"/>
          <w14:ligatures w14:val="none"/>
        </w:rPr>
      </w:pPr>
      <w:r w:rsidRPr="00FB63D0">
        <w:rPr>
          <w:rFonts w:ascii="Times New Roman" w:eastAsia="Times New Roman" w:hAnsi="Times New Roman" w:cs="Times New Roman"/>
          <w:kern w:val="0"/>
          <w:sz w:val="24"/>
          <w:szCs w:val="24"/>
          <w:lang w:eastAsia="es-CO"/>
          <w14:ligatures w14:val="none"/>
        </w:rPr>
        <w:t>En conclusión, aunque Colombia ha avanzado significativamente en la creación de un marco normativo para combatir el feminicidio, su implementación enfrenta desafíos estructurales y culturales. Es esencial fortalecer las instituciones encargadas de prevenir y sancionar este delito, garantizar la capacitación de los operadores judiciales y promover una mayor articulación entre los diferentes actores involucrados en la lucha contra la violencia de género. Solo a través de un enfoque integral será posible erradicar esta problemática y garantizar el derecho de las mujeres a vivir libres de violencia</w:t>
      </w:r>
      <w:r w:rsidR="00173545">
        <w:rPr>
          <w:rFonts w:ascii="Times New Roman" w:eastAsia="Times New Roman" w:hAnsi="Times New Roman" w:cs="Times New Roman"/>
          <w:kern w:val="0"/>
          <w:sz w:val="24"/>
          <w:szCs w:val="24"/>
          <w:lang w:eastAsia="es-CO"/>
          <w14:ligatures w14:val="none"/>
        </w:rPr>
        <w:t>.</w:t>
      </w:r>
    </w:p>
    <w:p w14:paraId="1FB0114A" w14:textId="77777777" w:rsidR="00461045" w:rsidRPr="00461045" w:rsidRDefault="00461045" w:rsidP="00461045">
      <w:pPr>
        <w:spacing w:after="0" w:line="480" w:lineRule="auto"/>
        <w:ind w:firstLine="720"/>
        <w:jc w:val="both"/>
        <w:rPr>
          <w:rFonts w:ascii="Times New Roman" w:eastAsia="Times New Roman" w:hAnsi="Times New Roman" w:cs="Times New Roman"/>
          <w:kern w:val="0"/>
          <w:sz w:val="24"/>
          <w:szCs w:val="24"/>
          <w:lang w:eastAsia="es-CO"/>
          <w14:ligatures w14:val="none"/>
        </w:rPr>
      </w:pPr>
    </w:p>
    <w:p w14:paraId="2FD57F0A" w14:textId="58AC7C99" w:rsidR="006E0813" w:rsidRPr="00461045" w:rsidRDefault="00461045" w:rsidP="00461045">
      <w:pPr>
        <w:pStyle w:val="Prrafodelista"/>
        <w:numPr>
          <w:ilvl w:val="0"/>
          <w:numId w:val="8"/>
        </w:num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Metodología</w:t>
      </w:r>
    </w:p>
    <w:p w14:paraId="49D90023" w14:textId="77777777" w:rsidR="00631953" w:rsidRPr="00631953" w:rsidRDefault="00631953" w:rsidP="00631953">
      <w:pPr>
        <w:pStyle w:val="NormalWeb"/>
        <w:spacing w:line="480" w:lineRule="auto"/>
        <w:ind w:left="357" w:firstLine="720"/>
        <w:jc w:val="both"/>
      </w:pPr>
      <w:r w:rsidRPr="00631953">
        <w:t xml:space="preserve">Este estudio </w:t>
      </w:r>
      <w:r w:rsidRPr="00631953">
        <w:rPr>
          <w:rStyle w:val="Textoennegrita"/>
          <w:b w:val="0"/>
          <w:bCs w:val="0"/>
        </w:rPr>
        <w:t>analizó</w:t>
      </w:r>
      <w:r w:rsidRPr="00631953">
        <w:t xml:space="preserve"> el fenómeno del feminicidio en Barranquilla y su área metropolitana, con el objetivo de comprender tanto las causas estructurales como las respuestas institucionales frente a esta problemática. Para ello, </w:t>
      </w:r>
      <w:r w:rsidRPr="00631953">
        <w:rPr>
          <w:rStyle w:val="Textoennegrita"/>
          <w:b w:val="0"/>
          <w:bCs w:val="0"/>
        </w:rPr>
        <w:t>se adoptó un enfoque metodológico predominantemente cualitativo</w:t>
      </w:r>
      <w:r w:rsidRPr="00631953">
        <w:t>, lo cual permitió realizar una interpretación profunda y contextualizada del fenómeno. Según Creswell (2014), los enfoques cualitativos permiten acceder al significado de los fenómenos sociales desde diversas perspectivas, especialmente en problemáticas complejas como la violencia de género.</w:t>
      </w:r>
    </w:p>
    <w:p w14:paraId="24E722E5" w14:textId="77777777" w:rsidR="00631953" w:rsidRPr="00631953" w:rsidRDefault="00631953" w:rsidP="00631953">
      <w:pPr>
        <w:pStyle w:val="NormalWeb"/>
        <w:spacing w:line="480" w:lineRule="auto"/>
        <w:ind w:left="357" w:firstLine="720"/>
        <w:jc w:val="both"/>
      </w:pPr>
      <w:r w:rsidRPr="00631953">
        <w:rPr>
          <w:rStyle w:val="Textoennegrita"/>
          <w:b w:val="0"/>
          <w:bCs w:val="0"/>
        </w:rPr>
        <w:t>Se llevó a cabo un análisis documental</w:t>
      </w:r>
      <w:r w:rsidRPr="00631953">
        <w:t xml:space="preserve"> de los casos de feminicidio ocurridos entre 2020 y 2024, a partir de fuentes secundarias como informes de la Fiscalía General de la Nación, sentencias judiciales y reportes de medios de comunicación. Esta estrategia se fundamentó en el modelo de análisis documental propuesto por Martínez (2016), que resalta la importancia de estas fuentes para el estudio de fenómenos sociales de gran escala.</w:t>
      </w:r>
    </w:p>
    <w:p w14:paraId="52327F69" w14:textId="77777777" w:rsidR="00631953" w:rsidRPr="00631953" w:rsidRDefault="00631953" w:rsidP="00631953">
      <w:pPr>
        <w:pStyle w:val="NormalWeb"/>
        <w:spacing w:line="480" w:lineRule="auto"/>
        <w:ind w:left="357" w:firstLine="720"/>
        <w:jc w:val="both"/>
      </w:pPr>
      <w:r w:rsidRPr="00631953">
        <w:t xml:space="preserve">En primera instancia, </w:t>
      </w:r>
      <w:r w:rsidRPr="00631953">
        <w:rPr>
          <w:rStyle w:val="Textoennegrita"/>
          <w:b w:val="0"/>
          <w:bCs w:val="0"/>
        </w:rPr>
        <w:t>se recopilaron datos oficiales y reportes institucionales</w:t>
      </w:r>
      <w:r w:rsidRPr="00631953">
        <w:t xml:space="preserve"> que permitieron caracterizar de manera general a las víctimas de feminicidio en la región. Aunque no se profundizó en un análisis estadístico, esta información sirvió como contexto para entender la magnitud del problema y orientar el análisis cualitativo.</w:t>
      </w:r>
    </w:p>
    <w:p w14:paraId="764EBF46" w14:textId="77777777" w:rsidR="00631953" w:rsidRPr="00631953" w:rsidRDefault="00631953" w:rsidP="00631953">
      <w:pPr>
        <w:pStyle w:val="NormalWeb"/>
        <w:spacing w:line="480" w:lineRule="auto"/>
        <w:ind w:left="357" w:firstLine="720"/>
        <w:jc w:val="both"/>
      </w:pPr>
      <w:r w:rsidRPr="00631953">
        <w:t xml:space="preserve">Luego, </w:t>
      </w:r>
      <w:r w:rsidRPr="00631953">
        <w:rPr>
          <w:rStyle w:val="Textoennegrita"/>
          <w:b w:val="0"/>
          <w:bCs w:val="0"/>
        </w:rPr>
        <w:t>se realizó un análisis cualitativo de sentencias judiciales</w:t>
      </w:r>
      <w:r w:rsidRPr="00631953">
        <w:t xml:space="preserve"> emitidas entre 2020 y 2024 en casos tipificados como feminicidio. Para este proceso, </w:t>
      </w:r>
      <w:r w:rsidRPr="00631953">
        <w:rPr>
          <w:rStyle w:val="Textoennegrita"/>
          <w:b w:val="0"/>
          <w:bCs w:val="0"/>
        </w:rPr>
        <w:t>se aplicaron técnicas de análisis de contenido</w:t>
      </w:r>
      <w:r w:rsidRPr="00631953">
        <w:t xml:space="preserve"> siguiendo los lineamientos de Krippendorff (2013), lo cual permitió identificar patrones argumentativos, factores estructurales, y elementos jurídicos presentes en las decisiones judiciales. También se evaluó el grado de cumplimiento de los estándares establecidos por la Ley Rosa Elvira Cely y por instrumentos internacionales como la Convención de Belém do Pará.</w:t>
      </w:r>
    </w:p>
    <w:p w14:paraId="460CE25B" w14:textId="77777777" w:rsidR="00631953" w:rsidRPr="00631953" w:rsidRDefault="00631953" w:rsidP="00631953">
      <w:pPr>
        <w:pStyle w:val="NormalWeb"/>
        <w:spacing w:line="480" w:lineRule="auto"/>
        <w:ind w:left="357" w:firstLine="720"/>
        <w:jc w:val="both"/>
      </w:pPr>
      <w:r w:rsidRPr="00631953">
        <w:t xml:space="preserve">Además, </w:t>
      </w:r>
      <w:r w:rsidRPr="00631953">
        <w:rPr>
          <w:rStyle w:val="Textoennegrita"/>
          <w:b w:val="0"/>
          <w:bCs w:val="0"/>
        </w:rPr>
        <w:t>se examinó el contenido de políticas públicas e informes institucionales</w:t>
      </w:r>
      <w:r w:rsidRPr="00631953">
        <w:t xml:space="preserve"> enfocados en la prevención del feminicidio y la protección de los derechos de las mujeres. Este análisis se apoyó en la teoría de políticas públicas de Dye (2013), con el fin de evaluar la pertinencia, cobertura y enfoque de las acciones gubernamentales en Barranquilla y su área metropolitana.</w:t>
      </w:r>
    </w:p>
    <w:p w14:paraId="775495B2" w14:textId="77777777" w:rsidR="00631953" w:rsidRPr="00631953" w:rsidRDefault="00631953" w:rsidP="00631953">
      <w:pPr>
        <w:pStyle w:val="NormalWeb"/>
        <w:spacing w:line="480" w:lineRule="auto"/>
        <w:ind w:left="357" w:firstLine="720"/>
        <w:jc w:val="both"/>
      </w:pPr>
      <w:r w:rsidRPr="00631953">
        <w:t xml:space="preserve">Finalmente, </w:t>
      </w:r>
      <w:r w:rsidRPr="00631953">
        <w:rPr>
          <w:rStyle w:val="Textoennegrita"/>
          <w:b w:val="0"/>
          <w:bCs w:val="0"/>
        </w:rPr>
        <w:t>se analizaron entrevistas existentes disponibles en medios de comunicación y documentos institucionales</w:t>
      </w:r>
      <w:r w:rsidRPr="00631953">
        <w:t xml:space="preserve">, realizadas a activistas, profesionales del derecho y representantes de organizaciones sociales. Si bien no se realizaron entrevistas propias, el contenido de estos testimonios públicos </w:t>
      </w:r>
      <w:r w:rsidRPr="00631953">
        <w:rPr>
          <w:rStyle w:val="Textoennegrita"/>
          <w:b w:val="0"/>
          <w:bCs w:val="0"/>
        </w:rPr>
        <w:t>fue incorporado como parte del análisis documental</w:t>
      </w:r>
      <w:r w:rsidRPr="00631953">
        <w:t>, brindando insumos valiosos sobre las percepciones, experiencias y desafíos relacionados con la atención y prevención del feminicidio. Tal como señalan Gubrium y Holstein (2002), el uso de testimonios en registros secundarios puede enriquecer el análisis cualitativo cuando se interpretan críticamente desde una perspectiva contextual.</w:t>
      </w:r>
    </w:p>
    <w:p w14:paraId="6D8BA0EB" w14:textId="7D4E7366" w:rsidR="007D787A" w:rsidRPr="007D787A" w:rsidRDefault="007D787A" w:rsidP="007D787A">
      <w:pPr>
        <w:spacing w:line="480" w:lineRule="auto"/>
        <w:ind w:firstLine="720"/>
        <w:jc w:val="both"/>
        <w:rPr>
          <w:rFonts w:ascii="Times New Roman" w:hAnsi="Times New Roman" w:cs="Times New Roman"/>
          <w:sz w:val="24"/>
          <w:szCs w:val="24"/>
        </w:rPr>
      </w:pPr>
      <w:r w:rsidRPr="007D787A">
        <w:rPr>
          <w:rFonts w:ascii="Times New Roman" w:hAnsi="Times New Roman" w:cs="Times New Roman"/>
          <w:sz w:val="24"/>
          <w:szCs w:val="24"/>
        </w:rPr>
        <w:t>A continuación, se presenta una tabla con algunos de los casos</w:t>
      </w:r>
      <w:r w:rsidR="00932CFC">
        <w:rPr>
          <w:rFonts w:ascii="Times New Roman" w:hAnsi="Times New Roman" w:cs="Times New Roman"/>
          <w:sz w:val="24"/>
          <w:szCs w:val="24"/>
        </w:rPr>
        <w:t xml:space="preserve"> más relevantes y sentencias sobre el tema</w:t>
      </w:r>
      <w:r w:rsidRPr="007D787A">
        <w:rPr>
          <w:rFonts w:ascii="Times New Roman" w:hAnsi="Times New Roman" w:cs="Times New Roman"/>
          <w:sz w:val="24"/>
          <w:szCs w:val="24"/>
        </w:rPr>
        <w:t xml:space="preserve"> durante los años de estudio, junto con las sentencias judiciales asociadas:</w:t>
      </w:r>
    </w:p>
    <w:tbl>
      <w:tblPr>
        <w:tblStyle w:val="Tablaconcuadrcula"/>
        <w:tblW w:w="0" w:type="auto"/>
        <w:tblLook w:val="04A0" w:firstRow="1" w:lastRow="0" w:firstColumn="1" w:lastColumn="0" w:noHBand="0" w:noVBand="1"/>
      </w:tblPr>
      <w:tblGrid>
        <w:gridCol w:w="2337"/>
        <w:gridCol w:w="2337"/>
        <w:gridCol w:w="2338"/>
        <w:gridCol w:w="2338"/>
      </w:tblGrid>
      <w:tr w:rsidR="007D787A" w14:paraId="28618845" w14:textId="77777777" w:rsidTr="007D787A">
        <w:tc>
          <w:tcPr>
            <w:tcW w:w="2337" w:type="dxa"/>
          </w:tcPr>
          <w:p w14:paraId="2B4553CD" w14:textId="1D277380" w:rsidR="007D787A" w:rsidRDefault="007D787A" w:rsidP="006E081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Caso</w:t>
            </w:r>
          </w:p>
        </w:tc>
        <w:tc>
          <w:tcPr>
            <w:tcW w:w="2337" w:type="dxa"/>
          </w:tcPr>
          <w:p w14:paraId="1DACA0F6" w14:textId="346E5886" w:rsidR="007D787A" w:rsidRDefault="007D787A" w:rsidP="006E081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Fecha </w:t>
            </w:r>
          </w:p>
        </w:tc>
        <w:tc>
          <w:tcPr>
            <w:tcW w:w="2338" w:type="dxa"/>
          </w:tcPr>
          <w:p w14:paraId="02A7CDC5" w14:textId="780B50E3" w:rsidR="007D787A" w:rsidRDefault="007D787A" w:rsidP="006E081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Sentencia</w:t>
            </w:r>
          </w:p>
        </w:tc>
        <w:tc>
          <w:tcPr>
            <w:tcW w:w="2338" w:type="dxa"/>
          </w:tcPr>
          <w:p w14:paraId="7A8DAE38" w14:textId="2CAF287D" w:rsidR="007D787A" w:rsidRDefault="007D787A" w:rsidP="006E0813">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Resumen de sentencia</w:t>
            </w:r>
          </w:p>
        </w:tc>
      </w:tr>
      <w:tr w:rsidR="007D787A" w14:paraId="75C959DF" w14:textId="77777777" w:rsidTr="007D787A">
        <w:tc>
          <w:tcPr>
            <w:tcW w:w="2337" w:type="dxa"/>
          </w:tcPr>
          <w:p w14:paraId="40B57517" w14:textId="564A4013" w:rsidR="007D787A" w:rsidRPr="001F58EA" w:rsidRDefault="001F58EA" w:rsidP="006E0813">
            <w:pPr>
              <w:spacing w:line="480" w:lineRule="auto"/>
              <w:jc w:val="center"/>
              <w:rPr>
                <w:rFonts w:ascii="Times New Roman" w:hAnsi="Times New Roman" w:cs="Times New Roman"/>
                <w:sz w:val="24"/>
                <w:szCs w:val="24"/>
              </w:rPr>
            </w:pPr>
            <w:r w:rsidRPr="001F58EA">
              <w:rPr>
                <w:rFonts w:ascii="Times New Roman" w:hAnsi="Times New Roman" w:cs="Times New Roman"/>
                <w:sz w:val="24"/>
                <w:szCs w:val="24"/>
              </w:rPr>
              <w:t>Caso Rosa Elvira Cely</w:t>
            </w:r>
          </w:p>
        </w:tc>
        <w:tc>
          <w:tcPr>
            <w:tcW w:w="2337" w:type="dxa"/>
          </w:tcPr>
          <w:p w14:paraId="0C59CBC6" w14:textId="23877716" w:rsidR="007D787A" w:rsidRPr="001F58EA" w:rsidRDefault="001F58EA" w:rsidP="006E0813">
            <w:pPr>
              <w:spacing w:line="480" w:lineRule="auto"/>
              <w:jc w:val="center"/>
              <w:rPr>
                <w:rFonts w:ascii="Times New Roman" w:hAnsi="Times New Roman" w:cs="Times New Roman"/>
                <w:sz w:val="20"/>
                <w:szCs w:val="20"/>
              </w:rPr>
            </w:pPr>
            <w:r w:rsidRPr="001F58EA">
              <w:rPr>
                <w:rFonts w:ascii="Times New Roman" w:hAnsi="Times New Roman" w:cs="Times New Roman"/>
                <w:sz w:val="20"/>
                <w:szCs w:val="20"/>
              </w:rPr>
              <w:t>2012</w:t>
            </w:r>
          </w:p>
        </w:tc>
        <w:tc>
          <w:tcPr>
            <w:tcW w:w="2338" w:type="dxa"/>
          </w:tcPr>
          <w:p w14:paraId="6BEB2B4A" w14:textId="59AAFF06" w:rsidR="007D787A" w:rsidRPr="001F58EA" w:rsidRDefault="001F58EA" w:rsidP="001F58EA">
            <w:pPr>
              <w:spacing w:line="480" w:lineRule="auto"/>
              <w:jc w:val="both"/>
              <w:rPr>
                <w:rFonts w:ascii="Times New Roman" w:hAnsi="Times New Roman" w:cs="Times New Roman"/>
                <w:sz w:val="20"/>
                <w:szCs w:val="20"/>
              </w:rPr>
            </w:pPr>
            <w:r w:rsidRPr="001F58EA">
              <w:rPr>
                <w:rFonts w:ascii="Times New Roman" w:hAnsi="Times New Roman" w:cs="Times New Roman"/>
                <w:sz w:val="20"/>
                <w:szCs w:val="20"/>
              </w:rPr>
              <w:t>Sentencia C-539/16 (Corte Constitucional)</w:t>
            </w:r>
          </w:p>
        </w:tc>
        <w:tc>
          <w:tcPr>
            <w:tcW w:w="2338" w:type="dxa"/>
          </w:tcPr>
          <w:p w14:paraId="37E8B736" w14:textId="1415A7FE" w:rsidR="007D787A" w:rsidRPr="007D787A" w:rsidRDefault="007D787A" w:rsidP="007D787A">
            <w:pPr>
              <w:spacing w:line="480" w:lineRule="auto"/>
              <w:jc w:val="both"/>
              <w:rPr>
                <w:rFonts w:ascii="Times New Roman" w:hAnsi="Times New Roman" w:cs="Times New Roman"/>
                <w:sz w:val="20"/>
                <w:szCs w:val="20"/>
              </w:rPr>
            </w:pPr>
            <w:r w:rsidRPr="007D787A">
              <w:rPr>
                <w:rFonts w:ascii="Times New Roman" w:hAnsi="Times New Roman" w:cs="Times New Roman"/>
                <w:sz w:val="20"/>
                <w:szCs w:val="20"/>
              </w:rPr>
              <w:t>La Corte Constitucional validó la Ley 1761 de 2015, que tipifica el feminicidio como un delito autónomo. Esta sentencia establece que el feminicidio debe ser tratado como un crimen específico por razones de género.</w:t>
            </w:r>
          </w:p>
        </w:tc>
      </w:tr>
      <w:tr w:rsidR="007D787A" w:rsidRPr="001F58EA" w14:paraId="248918EE" w14:textId="77777777" w:rsidTr="007D787A">
        <w:tc>
          <w:tcPr>
            <w:tcW w:w="2337" w:type="dxa"/>
          </w:tcPr>
          <w:p w14:paraId="4889B640" w14:textId="60B158A9" w:rsidR="007D787A" w:rsidRPr="00932CFC" w:rsidRDefault="001F58EA" w:rsidP="006E0813">
            <w:pPr>
              <w:spacing w:line="480" w:lineRule="auto"/>
              <w:jc w:val="center"/>
              <w:rPr>
                <w:rFonts w:ascii="Times New Roman" w:hAnsi="Times New Roman" w:cs="Times New Roman"/>
                <w:sz w:val="24"/>
                <w:szCs w:val="24"/>
              </w:rPr>
            </w:pPr>
            <w:r w:rsidRPr="00932CFC">
              <w:rPr>
                <w:rFonts w:ascii="Times New Roman" w:hAnsi="Times New Roman" w:cs="Times New Roman"/>
                <w:sz w:val="24"/>
                <w:szCs w:val="24"/>
              </w:rPr>
              <w:t>Caso Lina León Galeano</w:t>
            </w:r>
          </w:p>
        </w:tc>
        <w:tc>
          <w:tcPr>
            <w:tcW w:w="2337" w:type="dxa"/>
          </w:tcPr>
          <w:p w14:paraId="66218100" w14:textId="7D55815A" w:rsidR="007D787A" w:rsidRPr="001F58EA" w:rsidRDefault="001F58EA" w:rsidP="006E0813">
            <w:pPr>
              <w:spacing w:line="480" w:lineRule="auto"/>
              <w:jc w:val="center"/>
              <w:rPr>
                <w:rFonts w:ascii="Times New Roman" w:hAnsi="Times New Roman" w:cs="Times New Roman"/>
                <w:sz w:val="20"/>
                <w:szCs w:val="20"/>
              </w:rPr>
            </w:pPr>
            <w:r w:rsidRPr="001F58EA">
              <w:rPr>
                <w:rFonts w:ascii="Times New Roman" w:hAnsi="Times New Roman" w:cs="Times New Roman"/>
                <w:sz w:val="20"/>
                <w:szCs w:val="20"/>
              </w:rPr>
              <w:t>2019</w:t>
            </w:r>
          </w:p>
        </w:tc>
        <w:tc>
          <w:tcPr>
            <w:tcW w:w="2338" w:type="dxa"/>
          </w:tcPr>
          <w:p w14:paraId="2E5ECF58" w14:textId="72199D87" w:rsidR="007D787A" w:rsidRPr="001F58EA" w:rsidRDefault="001F58EA" w:rsidP="001F58EA">
            <w:pPr>
              <w:spacing w:line="480" w:lineRule="auto"/>
              <w:jc w:val="both"/>
              <w:rPr>
                <w:rFonts w:ascii="Times New Roman" w:hAnsi="Times New Roman" w:cs="Times New Roman"/>
                <w:sz w:val="20"/>
                <w:szCs w:val="20"/>
                <w:lang w:val="pt-BR"/>
              </w:rPr>
            </w:pPr>
            <w:r w:rsidRPr="001F58EA">
              <w:rPr>
                <w:rFonts w:ascii="Times New Roman" w:hAnsi="Times New Roman" w:cs="Times New Roman"/>
                <w:sz w:val="20"/>
                <w:szCs w:val="20"/>
                <w:lang w:val="pt-BR"/>
              </w:rPr>
              <w:t>Sentencia T-064 de 2023 (Corte Constitucional)</w:t>
            </w:r>
          </w:p>
        </w:tc>
        <w:tc>
          <w:tcPr>
            <w:tcW w:w="2338" w:type="dxa"/>
          </w:tcPr>
          <w:p w14:paraId="06451D7E" w14:textId="40E178EE" w:rsidR="007D787A" w:rsidRPr="001F58EA" w:rsidRDefault="001F58EA" w:rsidP="001F58EA">
            <w:pPr>
              <w:spacing w:line="480" w:lineRule="auto"/>
              <w:jc w:val="both"/>
              <w:rPr>
                <w:rFonts w:ascii="Times New Roman" w:hAnsi="Times New Roman" w:cs="Times New Roman"/>
                <w:sz w:val="20"/>
                <w:szCs w:val="20"/>
              </w:rPr>
            </w:pPr>
            <w:r w:rsidRPr="001F58EA">
              <w:rPr>
                <w:rFonts w:ascii="Times New Roman" w:hAnsi="Times New Roman" w:cs="Times New Roman"/>
                <w:sz w:val="20"/>
                <w:szCs w:val="20"/>
              </w:rPr>
              <w:t>si bien la Sentencia T-064 de 2023 es relevante a la luz de la protección de los derechos de las mujeres víctimas de violencia, la Corte Constitucional desatendió una valiosa oportunidad para impulsar transformaciones estructurales y generar un precedente de mayor alcance e impacto. Asimismo, incurrió en deficiencias metodológicas y de argumentación que restan eficacia a la protección. Es imperativo que este alto tribunal asuma un rol más activo y decidido en la promoción de la igualdad de género y la erradicación de todas las formas de violencia contra las mujeres en Colombia.</w:t>
            </w:r>
          </w:p>
        </w:tc>
      </w:tr>
      <w:tr w:rsidR="007D787A" w:rsidRPr="00932CFC" w14:paraId="1DAA47C5" w14:textId="77777777" w:rsidTr="007D787A">
        <w:tc>
          <w:tcPr>
            <w:tcW w:w="2337" w:type="dxa"/>
          </w:tcPr>
          <w:p w14:paraId="3A8E381B" w14:textId="79EC889E" w:rsidR="007D787A" w:rsidRPr="00932CFC" w:rsidRDefault="00932CFC" w:rsidP="006E0813">
            <w:pPr>
              <w:spacing w:line="480" w:lineRule="auto"/>
              <w:jc w:val="center"/>
              <w:rPr>
                <w:rFonts w:ascii="Times New Roman" w:hAnsi="Times New Roman" w:cs="Times New Roman"/>
                <w:sz w:val="24"/>
                <w:szCs w:val="24"/>
              </w:rPr>
            </w:pPr>
            <w:r w:rsidRPr="00932CFC">
              <w:rPr>
                <w:rFonts w:ascii="Times New Roman" w:hAnsi="Times New Roman" w:cs="Times New Roman"/>
                <w:sz w:val="24"/>
                <w:szCs w:val="24"/>
              </w:rPr>
              <w:t>Precisión del concepto de feminicidio</w:t>
            </w:r>
          </w:p>
        </w:tc>
        <w:tc>
          <w:tcPr>
            <w:tcW w:w="2337" w:type="dxa"/>
          </w:tcPr>
          <w:p w14:paraId="7D0B2EE2" w14:textId="60420BE3" w:rsidR="007D787A" w:rsidRPr="00932CFC" w:rsidRDefault="00932CFC" w:rsidP="006E0813">
            <w:pPr>
              <w:spacing w:line="480" w:lineRule="auto"/>
              <w:jc w:val="center"/>
              <w:rPr>
                <w:rFonts w:ascii="Times New Roman" w:hAnsi="Times New Roman" w:cs="Times New Roman"/>
                <w:sz w:val="20"/>
                <w:szCs w:val="20"/>
              </w:rPr>
            </w:pPr>
            <w:r w:rsidRPr="00932CFC">
              <w:rPr>
                <w:rFonts w:ascii="Times New Roman" w:hAnsi="Times New Roman" w:cs="Times New Roman"/>
                <w:sz w:val="20"/>
                <w:szCs w:val="20"/>
              </w:rPr>
              <w:t>2022</w:t>
            </w:r>
          </w:p>
        </w:tc>
        <w:tc>
          <w:tcPr>
            <w:tcW w:w="2338" w:type="dxa"/>
          </w:tcPr>
          <w:p w14:paraId="31129474" w14:textId="64E59439" w:rsidR="007D787A" w:rsidRPr="00932CFC" w:rsidRDefault="00932CFC" w:rsidP="00932CFC">
            <w:pPr>
              <w:spacing w:line="480" w:lineRule="auto"/>
              <w:jc w:val="both"/>
              <w:rPr>
                <w:rFonts w:ascii="Times New Roman" w:hAnsi="Times New Roman" w:cs="Times New Roman"/>
                <w:sz w:val="20"/>
                <w:szCs w:val="20"/>
                <w:lang w:val="pt-BR"/>
              </w:rPr>
            </w:pPr>
            <w:r w:rsidRPr="00932CFC">
              <w:rPr>
                <w:rFonts w:ascii="Times New Roman" w:hAnsi="Times New Roman" w:cs="Times New Roman"/>
                <w:sz w:val="20"/>
                <w:szCs w:val="20"/>
                <w:lang w:val="pt-BR"/>
              </w:rPr>
              <w:t>Sentencia SP3993</w:t>
            </w:r>
            <w:r>
              <w:rPr>
                <w:rFonts w:ascii="Times New Roman" w:hAnsi="Times New Roman" w:cs="Times New Roman"/>
                <w:sz w:val="20"/>
                <w:szCs w:val="20"/>
                <w:lang w:val="pt-BR"/>
              </w:rPr>
              <w:t>-2022</w:t>
            </w:r>
            <w:r w:rsidRPr="00932CFC">
              <w:rPr>
                <w:rFonts w:ascii="Times New Roman" w:hAnsi="Times New Roman" w:cs="Times New Roman"/>
                <w:sz w:val="20"/>
                <w:szCs w:val="20"/>
                <w:lang w:val="pt-BR"/>
              </w:rPr>
              <w:t xml:space="preserve"> (Corte Suprema de Jus</w:t>
            </w:r>
            <w:r>
              <w:rPr>
                <w:rFonts w:ascii="Times New Roman" w:hAnsi="Times New Roman" w:cs="Times New Roman"/>
                <w:sz w:val="20"/>
                <w:szCs w:val="20"/>
                <w:lang w:val="pt-BR"/>
              </w:rPr>
              <w:t>ticia)</w:t>
            </w:r>
          </w:p>
        </w:tc>
        <w:tc>
          <w:tcPr>
            <w:tcW w:w="2338" w:type="dxa"/>
          </w:tcPr>
          <w:p w14:paraId="30D605D3" w14:textId="64425AF7" w:rsidR="007D787A" w:rsidRPr="00932CFC" w:rsidRDefault="00932CFC" w:rsidP="00932CFC">
            <w:pPr>
              <w:spacing w:line="480" w:lineRule="auto"/>
              <w:jc w:val="both"/>
              <w:rPr>
                <w:rFonts w:ascii="Times New Roman" w:hAnsi="Times New Roman" w:cs="Times New Roman"/>
                <w:sz w:val="20"/>
                <w:szCs w:val="20"/>
              </w:rPr>
            </w:pPr>
            <w:r w:rsidRPr="00932CFC">
              <w:rPr>
                <w:rFonts w:ascii="Times New Roman" w:hAnsi="Times New Roman" w:cs="Times New Roman"/>
                <w:sz w:val="20"/>
                <w:szCs w:val="20"/>
              </w:rPr>
              <w:t>Precisa el concepto de feminicidio, sus elementos y las diferentes clases de feminicidio. </w:t>
            </w:r>
          </w:p>
        </w:tc>
      </w:tr>
    </w:tbl>
    <w:p w14:paraId="11F3DD92" w14:textId="77777777" w:rsidR="006E0813" w:rsidRDefault="006E0813" w:rsidP="006E0813">
      <w:pPr>
        <w:spacing w:line="480" w:lineRule="auto"/>
        <w:ind w:firstLine="720"/>
        <w:jc w:val="center"/>
        <w:rPr>
          <w:rFonts w:ascii="Times New Roman" w:hAnsi="Times New Roman" w:cs="Times New Roman"/>
          <w:b/>
          <w:bCs/>
          <w:sz w:val="24"/>
          <w:szCs w:val="24"/>
        </w:rPr>
      </w:pPr>
    </w:p>
    <w:p w14:paraId="7A267EA8" w14:textId="391D7D75" w:rsidR="00173545" w:rsidRPr="00B9730D" w:rsidRDefault="00173545" w:rsidP="00173545">
      <w:pPr>
        <w:pStyle w:val="Prrafodelista"/>
        <w:numPr>
          <w:ilvl w:val="0"/>
          <w:numId w:val="8"/>
        </w:num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Resultados</w:t>
      </w:r>
    </w:p>
    <w:p w14:paraId="31D5E632" w14:textId="77777777" w:rsidR="00173545" w:rsidRDefault="00173545" w:rsidP="00173545">
      <w:pPr>
        <w:spacing w:line="480" w:lineRule="auto"/>
        <w:ind w:firstLine="720"/>
        <w:rPr>
          <w:rFonts w:ascii="Times New Roman" w:hAnsi="Times New Roman" w:cs="Times New Roman"/>
          <w:b/>
          <w:bCs/>
          <w:sz w:val="24"/>
          <w:szCs w:val="24"/>
        </w:rPr>
      </w:pPr>
      <w:r w:rsidRPr="00B9730D">
        <w:rPr>
          <w:rFonts w:ascii="Times New Roman" w:hAnsi="Times New Roman" w:cs="Times New Roman"/>
          <w:b/>
          <w:bCs/>
          <w:sz w:val="24"/>
          <w:szCs w:val="24"/>
        </w:rPr>
        <w:t>Capítulo I: Características sociodemográficas de las víctimas de feminicidio en Barranquilla y su área metropolitana</w:t>
      </w:r>
    </w:p>
    <w:p w14:paraId="75ECED0B" w14:textId="77777777" w:rsidR="00173545" w:rsidRPr="00B9730D" w:rsidRDefault="00173545" w:rsidP="00173545">
      <w:pPr>
        <w:pStyle w:val="Prrafodelista"/>
        <w:numPr>
          <w:ilvl w:val="1"/>
          <w:numId w:val="12"/>
        </w:numPr>
        <w:spacing w:line="480" w:lineRule="auto"/>
        <w:jc w:val="both"/>
        <w:rPr>
          <w:rFonts w:ascii="Times New Roman" w:hAnsi="Times New Roman" w:cs="Times New Roman"/>
          <w:b/>
          <w:bCs/>
          <w:sz w:val="24"/>
          <w:szCs w:val="24"/>
        </w:rPr>
      </w:pPr>
      <w:r w:rsidRPr="00B9730D">
        <w:rPr>
          <w:rFonts w:ascii="Times New Roman" w:hAnsi="Times New Roman" w:cs="Times New Roman"/>
          <w:b/>
          <w:bCs/>
          <w:sz w:val="24"/>
          <w:szCs w:val="24"/>
        </w:rPr>
        <w:t>Edad de la</w:t>
      </w:r>
      <w:r>
        <w:rPr>
          <w:rFonts w:ascii="Times New Roman" w:hAnsi="Times New Roman" w:cs="Times New Roman"/>
          <w:b/>
          <w:bCs/>
          <w:sz w:val="24"/>
          <w:szCs w:val="24"/>
        </w:rPr>
        <w:t>s</w:t>
      </w:r>
      <w:r w:rsidRPr="00B9730D">
        <w:rPr>
          <w:rFonts w:ascii="Times New Roman" w:hAnsi="Times New Roman" w:cs="Times New Roman"/>
          <w:b/>
          <w:bCs/>
          <w:sz w:val="24"/>
          <w:szCs w:val="24"/>
        </w:rPr>
        <w:t xml:space="preserve"> víctima</w:t>
      </w:r>
      <w:r>
        <w:rPr>
          <w:rFonts w:ascii="Times New Roman" w:hAnsi="Times New Roman" w:cs="Times New Roman"/>
          <w:b/>
          <w:bCs/>
          <w:sz w:val="24"/>
          <w:szCs w:val="24"/>
        </w:rPr>
        <w:t>s</w:t>
      </w:r>
    </w:p>
    <w:p w14:paraId="1D4EB9E2" w14:textId="77777777" w:rsidR="00173545" w:rsidRDefault="00173545" w:rsidP="00173545">
      <w:pPr>
        <w:spacing w:line="480" w:lineRule="auto"/>
        <w:ind w:firstLine="720"/>
        <w:jc w:val="both"/>
        <w:rPr>
          <w:rFonts w:ascii="Times New Roman" w:hAnsi="Times New Roman" w:cs="Times New Roman"/>
          <w:sz w:val="24"/>
          <w:szCs w:val="24"/>
        </w:rPr>
      </w:pPr>
      <w:r w:rsidRPr="00B9730D">
        <w:rPr>
          <w:rFonts w:ascii="Times New Roman" w:hAnsi="Times New Roman" w:cs="Times New Roman"/>
          <w:sz w:val="24"/>
          <w:szCs w:val="24"/>
        </w:rPr>
        <w:t>Comprender el fenómeno del feminicidio en un contexto específico requiere ir más allá de las cifras y considerar quiénes son las mujeres que han sido asesinadas por razones de género. En este sentido, la identificación de las características sociodemográficas de las víctimas se convierte en un paso esencial para establecer patrones, visualizar condiciones de vulnerabilidad y diseñar políticas públicas eficaces y focalizadas. Este capítulo se centra en analizar las principales variables sociodemográficas asociadas a las víctimas de feminicidio en Barranquilla y su área metropolitana durante el periodo 2020-2024, abarcando aspectos como edad, nivel educativo, ocupación, estado civil, nivel socioeconómico, pertenencia étnica y lugar de residencia.</w:t>
      </w:r>
    </w:p>
    <w:p w14:paraId="703DC261" w14:textId="77777777" w:rsidR="00173545" w:rsidRPr="00B9730D" w:rsidRDefault="00173545" w:rsidP="00173545">
      <w:pPr>
        <w:spacing w:line="480" w:lineRule="auto"/>
        <w:ind w:firstLine="720"/>
        <w:jc w:val="both"/>
        <w:rPr>
          <w:rFonts w:ascii="Times New Roman" w:hAnsi="Times New Roman" w:cs="Times New Roman"/>
          <w:sz w:val="24"/>
          <w:szCs w:val="24"/>
        </w:rPr>
      </w:pPr>
      <w:r w:rsidRPr="00B9730D">
        <w:rPr>
          <w:rFonts w:ascii="Times New Roman" w:hAnsi="Times New Roman" w:cs="Times New Roman"/>
          <w:sz w:val="24"/>
          <w:szCs w:val="24"/>
        </w:rPr>
        <w:t>El análisis de la edad de las víctimas permite establecer patrones de riesgo asociados a distintas etapas del ciclo vital femenino. Como se mencionó, el grupo más afectado por los feminicidios en Barranquilla y su área metropolitana se encuentra entre los 20 y 39 años, lo que coincide con el periodo en que muchas mujeres asumen responsabilidades familiares, laborales y sociales de manera simultánea. Esta franja etaria suele estar marcada por relaciones afectivas y de pareja más estables o prolongadas, dentro de las cuales se puede producir una escalada de violencia que culmina en el feminicidio. Además, muchas de estas mujeres se convierten en madres jóvenes, lo que puede aumentar su dependencia emocional o económica del agresor y dificultar la toma de decisiones frente a la denuncia o la separación.</w:t>
      </w:r>
    </w:p>
    <w:p w14:paraId="0C56F4AF" w14:textId="77777777" w:rsidR="00173545" w:rsidRPr="00B9730D" w:rsidRDefault="00173545" w:rsidP="00173545">
      <w:pPr>
        <w:spacing w:line="480" w:lineRule="auto"/>
        <w:ind w:firstLine="720"/>
        <w:jc w:val="both"/>
        <w:rPr>
          <w:rFonts w:ascii="Times New Roman" w:hAnsi="Times New Roman" w:cs="Times New Roman"/>
          <w:sz w:val="24"/>
          <w:szCs w:val="24"/>
        </w:rPr>
      </w:pPr>
      <w:r w:rsidRPr="00B9730D">
        <w:rPr>
          <w:rFonts w:ascii="Times New Roman" w:hAnsi="Times New Roman" w:cs="Times New Roman"/>
          <w:sz w:val="24"/>
          <w:szCs w:val="24"/>
        </w:rPr>
        <w:t>En el caso de las adolescentes entre los 15 y 19 años, los feminicidios revelan una realidad igualmente preocupante. En esta etapa, muchas jóvenes entablan sus primeras relaciones sentimentales, frecuentemente con hombres mayores, lo cual reproduce dinámicas de poder desiguales desde el inicio. La falta de educación sexual con enfoque de género, los estereotipos románticos, y la normalización de los celos y el control como formas de afecto, contribuyen a que las adolescentes no reconozcan la violencia temprana en sus relaciones. Además, los entornos escolares y familiares, lejos de actuar como espacios de prevención y protección, muchas veces desconocen o minimizan las señales de alerta. Este grupo requiere una atención específica dentro de las políticas públicas, con acciones pedagógicas sostenidas y adaptadas a sus necesidades.</w:t>
      </w:r>
    </w:p>
    <w:p w14:paraId="7EF59159" w14:textId="77777777" w:rsidR="00173545" w:rsidRDefault="00173545" w:rsidP="00173545">
      <w:pPr>
        <w:spacing w:line="480" w:lineRule="auto"/>
        <w:ind w:firstLine="720"/>
        <w:jc w:val="both"/>
        <w:rPr>
          <w:rFonts w:ascii="Times New Roman" w:hAnsi="Times New Roman" w:cs="Times New Roman"/>
          <w:sz w:val="24"/>
          <w:szCs w:val="24"/>
        </w:rPr>
      </w:pPr>
      <w:r w:rsidRPr="00B9730D">
        <w:rPr>
          <w:rFonts w:ascii="Times New Roman" w:hAnsi="Times New Roman" w:cs="Times New Roman"/>
          <w:sz w:val="24"/>
          <w:szCs w:val="24"/>
        </w:rPr>
        <w:t>En menor proporción, también se han documentado feminicidios de mujeres mayores de 40 años, incluso casos de adultas mayores. Aunque menos frecuentes, estos asesinatos suelen estar vinculados a relaciones largas marcadas por décadas de violencia y control. Muchas de estas mujeres no accedieron a recursos institucionales a tiempo, por temor, dependencia económica, o resignación frente a una violencia prolongada. Asimismo, el abandono institucional hacia las mujeres mayores y la carencia de programas específicos para esta población incrementan su invisibilidad como víctimas. La presencia de feminicidios en todos los grupos etarios demuestra que ninguna mujer está exenta del riesgo, y que se requieren medidas diferenciadas y específicas según la etapa de vida para reducir la incidencia de este delito.</w:t>
      </w:r>
    </w:p>
    <w:p w14:paraId="2DD5F0E1" w14:textId="77777777" w:rsidR="00173545" w:rsidRPr="00B9730D" w:rsidRDefault="00173545" w:rsidP="00173545">
      <w:pPr>
        <w:spacing w:line="480" w:lineRule="auto"/>
        <w:ind w:firstLine="720"/>
        <w:jc w:val="both"/>
        <w:rPr>
          <w:rFonts w:ascii="Times New Roman" w:hAnsi="Times New Roman" w:cs="Times New Roman"/>
          <w:b/>
          <w:bCs/>
          <w:sz w:val="24"/>
          <w:szCs w:val="24"/>
        </w:rPr>
      </w:pPr>
      <w:r w:rsidRPr="008232C7">
        <w:rPr>
          <w:rFonts w:ascii="Times New Roman" w:hAnsi="Times New Roman" w:cs="Times New Roman"/>
          <w:b/>
          <w:bCs/>
          <w:sz w:val="24"/>
          <w:szCs w:val="24"/>
        </w:rPr>
        <w:t>1.2 Nivel Educativo</w:t>
      </w:r>
    </w:p>
    <w:p w14:paraId="0386B0CC" w14:textId="77777777" w:rsidR="00173545" w:rsidRDefault="00173545" w:rsidP="00173545">
      <w:pPr>
        <w:spacing w:line="480" w:lineRule="auto"/>
        <w:ind w:firstLine="720"/>
        <w:jc w:val="both"/>
        <w:rPr>
          <w:rFonts w:ascii="Times New Roman" w:hAnsi="Times New Roman" w:cs="Times New Roman"/>
          <w:sz w:val="24"/>
          <w:szCs w:val="24"/>
        </w:rPr>
      </w:pPr>
      <w:r w:rsidRPr="008232C7">
        <w:rPr>
          <w:rFonts w:ascii="Times New Roman" w:hAnsi="Times New Roman" w:cs="Times New Roman"/>
          <w:sz w:val="24"/>
          <w:szCs w:val="24"/>
        </w:rPr>
        <w:t>Otro factor importante es el nivel educativo de las víctimas. La mayoría de los casos registrados corresponden a mujeres con nivel educativo básico o medio (primaria y secundaria incompleta), lo que apunta a una posible relación entre menor nivel de escolaridad y mayor vulnerabilidad ante la violencia feminicida. La falta de acceso a una educación integral y continua puede limitar el desarrollo de herramientas críticas para identificar y denunciar situaciones de violencia. Además, reduce las posibilidades de autonomía económica, aspecto que suele estar estrechamente vinculado a la permanencia en relaciones violentas. Aunque existen casos de víctimas con educación técnica o universitaria, estos son menos frecuentes y generalmente ocurren en contextos donde la violencia se ha manifestado de manera más sutil o prolongada en el tiempo.</w:t>
      </w:r>
    </w:p>
    <w:p w14:paraId="61393968" w14:textId="77777777" w:rsidR="00173545" w:rsidRPr="008232C7" w:rsidRDefault="00173545" w:rsidP="00173545">
      <w:pPr>
        <w:spacing w:line="480" w:lineRule="auto"/>
        <w:ind w:firstLine="720"/>
        <w:jc w:val="both"/>
        <w:rPr>
          <w:rFonts w:ascii="Times New Roman" w:hAnsi="Times New Roman" w:cs="Times New Roman"/>
          <w:sz w:val="24"/>
          <w:szCs w:val="24"/>
        </w:rPr>
      </w:pPr>
      <w:r w:rsidRPr="008232C7">
        <w:rPr>
          <w:rFonts w:ascii="Times New Roman" w:hAnsi="Times New Roman" w:cs="Times New Roman"/>
          <w:sz w:val="24"/>
          <w:szCs w:val="24"/>
        </w:rPr>
        <w:t>La relación entre nivel educativo y vulnerabilidad frente al feminicidio es compleja, pero en el contexto de Barranquilla y su área metropolitana se evidencian ciertas tendencias claras. Una porción significativa de las víctimas no había culminado la educación básica secundaria, lo cual limita no solo sus oportunidades laborales y económicas, sino también su acceso a información sobre derechos, rutas de protección y mecanismos de denuncia. La baja escolaridad también restringe la capacidad de las mujeres para desarrollar redes de apoyo externas a su entorno familiar, como espacios académicos o laborales, que podrían desempeñar un rol clave en la detección temprana de la violencia. En muchos casos, la interrupción escolar fue producto de embarazos adolescentes, responsabilidades domésticas impuestas, o violencia intrafamiliar previa, lo que reproduce ciclos de desigualdad y dependencia.</w:t>
      </w:r>
    </w:p>
    <w:p w14:paraId="6B5C2691" w14:textId="77777777" w:rsidR="00173545" w:rsidRPr="008232C7" w:rsidRDefault="00173545" w:rsidP="00173545">
      <w:pPr>
        <w:spacing w:line="480" w:lineRule="auto"/>
        <w:ind w:firstLine="720"/>
        <w:jc w:val="both"/>
        <w:rPr>
          <w:rFonts w:ascii="Times New Roman" w:hAnsi="Times New Roman" w:cs="Times New Roman"/>
          <w:sz w:val="24"/>
          <w:szCs w:val="24"/>
        </w:rPr>
      </w:pPr>
      <w:r w:rsidRPr="008232C7">
        <w:rPr>
          <w:rFonts w:ascii="Times New Roman" w:hAnsi="Times New Roman" w:cs="Times New Roman"/>
          <w:sz w:val="24"/>
          <w:szCs w:val="24"/>
        </w:rPr>
        <w:t>Por otro lado, se ha identificado un grupo de víctimas con niveles educativos más altos, incluidas mujeres con estudios técnicos, tecnológicos e incluso universitarios. Aunque en menor proporción, estos casos demuestran que el nivel educativo por sí solo no es una barrera absoluta frente al feminicidio, especialmente cuando la violencia está profundamente enraizada en estructuras patriarcales o en relaciones de poder asimétricas. Algunas mujeres con formación profesional fueron víctimas de feminicidios en contextos de relaciones donde el agresor no toleraba la autonomía o el crecimiento personal de su pareja, actuando desde una lógica posesiva y de dominación. Esto revela que, incluso con un mayor grado de instrucción, el machismo estructural puede desencadenar agresiones letales cuando los hombres perciben amenazada su autoridad o control.</w:t>
      </w:r>
    </w:p>
    <w:p w14:paraId="49407612" w14:textId="77777777" w:rsidR="00173545" w:rsidRDefault="00173545" w:rsidP="00173545">
      <w:pPr>
        <w:spacing w:line="480" w:lineRule="auto"/>
        <w:ind w:firstLine="720"/>
        <w:jc w:val="both"/>
        <w:rPr>
          <w:rFonts w:ascii="Times New Roman" w:hAnsi="Times New Roman" w:cs="Times New Roman"/>
          <w:sz w:val="24"/>
          <w:szCs w:val="24"/>
        </w:rPr>
      </w:pPr>
      <w:r w:rsidRPr="008232C7">
        <w:rPr>
          <w:rFonts w:ascii="Times New Roman" w:hAnsi="Times New Roman" w:cs="Times New Roman"/>
          <w:sz w:val="24"/>
          <w:szCs w:val="24"/>
        </w:rPr>
        <w:t>Además, es importante destacar la ausencia de formación en temas de derechos de las mujeres, igualdad de género y prevención de violencias en muchos entornos educativos. Aun aquellas mujeres que accedieron a niveles educativos formales frecuentemente no contaban con herramientas críticas para identificar signos de violencia o para cuestionar las dinámicas patriarcales que se normalizan socialmente. La educación, entendida no solo como acceso a la escolarización, sino como un proceso formativo integral con enfoque de género, resulta fundamental para la prevención del feminicidio. En este sentido, fortalecer el sistema educativo con contenidos que promuevan la autonomía, la equidad y el respeto puede ser una estrategia transformadora a largo plazo en la lucha contra la violencia de género.</w:t>
      </w:r>
    </w:p>
    <w:p w14:paraId="48FE71DF"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 xml:space="preserve">El feminicidio se define como el asesinato de una mujer por razones de género. Esta manifestación extrema de violencia de género tiene raíces en la desigualdad estructural y el patriarcado que prevalecen en muchas sociedades. Según la </w:t>
      </w:r>
      <w:r>
        <w:rPr>
          <w:rFonts w:ascii="Times New Roman" w:hAnsi="Times New Roman" w:cs="Times New Roman"/>
          <w:sz w:val="24"/>
          <w:szCs w:val="24"/>
        </w:rPr>
        <w:t>política y antropóloga</w:t>
      </w:r>
      <w:r w:rsidRPr="00E93A28">
        <w:rPr>
          <w:rFonts w:ascii="Times New Roman" w:hAnsi="Times New Roman" w:cs="Times New Roman"/>
          <w:sz w:val="24"/>
          <w:szCs w:val="24"/>
        </w:rPr>
        <w:t xml:space="preserve"> Marcela Lagarde (2008), el feminicidio es una de las formas más evidentes de violencia de género, que se sostiene sobre un sistema que invisibiliza y desvaloriza a las mujeres. Lagarde subraya que el feminicidio debe ser entendido dentro de un contexto más amplio de violencia estructural, donde las mujeres enfrentan no solo agresiones físicas, sino una violencia social y cultural sistemática que normaliza su subordinación.</w:t>
      </w:r>
    </w:p>
    <w:p w14:paraId="64634FFA"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En el contexto colombiano, la violencia de género, y específicamente el feminicidio, ha sido un tema de creciente preocupación. En su trabajo, María José Guerra (2015) afirma que el feminicidio es una manifestación de la violencia machista que se ha institucionalizado a través de políticas públicas inadecuadas, una justicia lenta y una cultura de impunidad. La autora también destaca que el feminicidio en Colombia no solo es un fenómeno individual, sino que está relacionado con una estructura social que perpetúa las desigualdades de poder entre hombres y mujeres. Guerra argumenta que el feminicidio debe abordarse desde una perspectiva multidisciplinaria que considere tanto las políticas públicas como los factores socioculturales.</w:t>
      </w:r>
    </w:p>
    <w:p w14:paraId="51000D19"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En la legislación colombiana, el feminicidio fue tipificado como un delito autónomo por la Ley 1761 de 2015, conocida como Ley Rosa Elvira Cely, que reconoce el asesinato de una mujer por su condición de género como un crimen distinto al homicidio común. Esta ley establece una serie de agravantes para los feminicidios, como el hecho de que la víctima haya sido agredida por un familiar o que el crimen haya ocurrido en el contexto de violencia intrafamiliar. Según esta legislación, el feminicidio incluye tanto el asesinato como los intentos de feminicidio, permitiendo una respuesta legal más efectiva ante estos crímenes.</w:t>
      </w:r>
    </w:p>
    <w:p w14:paraId="0A036BC6"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La Corte Constitucional de Colombia, en la Sentencia C-539 de 2016, validó la tipificación del feminicidio como un delito autónomo, diferenciándolo del homicidio común y reconociendo que el asesinato de mujeres motivado por su condición de género debe ser tratado de manera distinta. La Corte subrayó que el feminicidio está vinculado a estructuras de poder y desigualdad que son perpetuadas por el machismo y la discriminación, lo que hace necesario un enfoque jurídico específico para su abordaje. Esta decisión resalta la importancia de la perspectiva de género en el tratamiento judicial de los casos de feminicidio y establece un precedente importante en la lucha contra la violencia de género.</w:t>
      </w:r>
    </w:p>
    <w:p w14:paraId="404A4FCA"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 xml:space="preserve">La jurisprudencia de la Corte Suprema de Justicia también ha sido clave para el desarrollo del marco legal sobre feminicidio. En la Sentencia </w:t>
      </w:r>
      <w:r>
        <w:rPr>
          <w:rFonts w:ascii="Times New Roman" w:hAnsi="Times New Roman" w:cs="Times New Roman"/>
          <w:sz w:val="24"/>
          <w:szCs w:val="24"/>
        </w:rPr>
        <w:t>T-224-23</w:t>
      </w:r>
      <w:r w:rsidRPr="00E93A28">
        <w:rPr>
          <w:rFonts w:ascii="Times New Roman" w:hAnsi="Times New Roman" w:cs="Times New Roman"/>
          <w:sz w:val="24"/>
          <w:szCs w:val="24"/>
        </w:rPr>
        <w:t>, la Corte abordó un caso de feminicidio y subrayó que los jueces deben aplicar una interpretación judicial con enfoque de género, reconociendo que la violencia contra las mujeres, especialmente en el contexto de la pareja, debe ser tratada con mayor sensibilidad y rigor. La Corte resaltó la necesidad de interpretar las pruebas y los testimonios de manera que no se minimicen las dinámicas de violencia de género, y que se garantice la reparación integral de las víctimas.</w:t>
      </w:r>
    </w:p>
    <w:p w14:paraId="7DE3CF72"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A nivel internacional, la Convención de Belém do Pará, ratificada por Colombia, establece la obligación de los Estados de adoptar medidas para prevenir, sancionar y erradicar la violencia contra las mujeres, incluyendo el feminicidio. En el caso "Campo Algodonero vs. México", la Corte Interamericana de Derechos Humanos determinó que la impunidad en casos de feminicidio y violencia de género es una violación de los derechos humanos de las mujeres. Este fallo establece que los Estados deben garantizar una respuesta efectiva ante estos crímenes, incluyendo investigaciones exhaustivas y medidas preventivas para evitar que se repitan. Este principio ha sido incorporado en la legislación y la jurisprudencia colombiana, lo que refuerza la obligación del Estado de garantizar justicia para las víctimas de feminicidio.</w:t>
      </w:r>
    </w:p>
    <w:p w14:paraId="279A4B2A"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 xml:space="preserve">En Colombia, los datos sobre feminicidio son alarmantes. </w:t>
      </w:r>
      <w:r>
        <w:rPr>
          <w:rFonts w:ascii="Times New Roman" w:hAnsi="Times New Roman" w:cs="Times New Roman"/>
          <w:sz w:val="24"/>
          <w:szCs w:val="24"/>
        </w:rPr>
        <w:t>E</w:t>
      </w:r>
      <w:r w:rsidRPr="00E93A28">
        <w:rPr>
          <w:rFonts w:ascii="Times New Roman" w:hAnsi="Times New Roman" w:cs="Times New Roman"/>
          <w:sz w:val="24"/>
          <w:szCs w:val="24"/>
        </w:rPr>
        <w:t>ntre enero y junio de 2020, 102 mujeres fueron asesinadas por razones de género. Esta cifra representa un incremento en comparación con años anteriores, lo que pone de manifiesto que, a pesar de los esfuerzos legislativos, el feminicidio sigue siendo una grave problemática. La falta de recursos, la inadecuada capacitación de las fuerzas del orden y el sistema judicial, y la cultura de impunidad contribuyen a la persistencia de este fenómeno.</w:t>
      </w:r>
    </w:p>
    <w:p w14:paraId="654262BF"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El sociólogo Enrique Gil (2016) sostiene que el feminicidio es el resultado de una violencia estructural que no solo se refleja en los crímenes, sino también en las instituciones y en las prácticas cotidianas que refuerzan la desigualdad de género. Según Gil, el feminicidio debe ser entendido como el punto culminante de una serie de agresiones y discriminaciones que las mujeres sufren a lo largo de sus vidas, desde el maltrato verbal hasta la violencia física y sexual. Para abordar el feminicidio, es necesario un cambio cultural que promueva la igualdad de género y un fortalecimiento de las políticas públicas de prevención y protección.</w:t>
      </w:r>
    </w:p>
    <w:p w14:paraId="3ED32715"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Además, las políticas públicas en Colombia han sido insuficientes para erradicar el feminicidio. Aunque la Ley Rosa Elvira Cely ha sido un paso importante, muchas mujeres siguen siendo víctimas de feminicidio debido a la falta de implementación efectiva de las leyes y a la falta de recursos para las víctimas. La activista Beatriz Paredes (2019) ha señalado que, a pesar de los avances legislativos, la justicia sigue siendo ineficaz para sancionar a los responsables de feminicidios. Paredes subraya la importancia de fortalecer el sistema de justicia y garantizar que las mujeres víctimas de violencia puedan acceder a la protección que les corresponde.</w:t>
      </w:r>
    </w:p>
    <w:p w14:paraId="458F2779" w14:textId="77777777" w:rsidR="00173545" w:rsidRPr="00E93A28" w:rsidRDefault="00173545" w:rsidP="00173545">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Según los informes de la</w:t>
      </w:r>
      <w:r w:rsidRPr="00E93A28">
        <w:rPr>
          <w:rFonts w:ascii="Times New Roman" w:hAnsi="Times New Roman" w:cs="Times New Roman"/>
          <w:sz w:val="24"/>
          <w:szCs w:val="24"/>
        </w:rPr>
        <w:t xml:space="preserve"> fiscalía general de la Nación </w:t>
      </w:r>
      <w:r>
        <w:rPr>
          <w:rFonts w:ascii="Times New Roman" w:hAnsi="Times New Roman" w:cs="Times New Roman"/>
          <w:sz w:val="24"/>
          <w:szCs w:val="24"/>
        </w:rPr>
        <w:t>se menciona que</w:t>
      </w:r>
      <w:r w:rsidRPr="00E93A28">
        <w:rPr>
          <w:rFonts w:ascii="Times New Roman" w:hAnsi="Times New Roman" w:cs="Times New Roman"/>
          <w:sz w:val="24"/>
          <w:szCs w:val="24"/>
        </w:rPr>
        <w:t>, a pesar de los avances legislativos, la impunidad sigue siendo una característica común en los casos de feminicidio. Solo una pequeña proporción de los casos registrados llega a juicio, y de estos, solo una fracción termina con una condena. Esta situación se debe a la falta de recursos en el sistema judicial, la desinformación sobre las leyes y la escasa sensibilización sobre la violencia de género en las fuerzas del orden.</w:t>
      </w:r>
    </w:p>
    <w:p w14:paraId="1FEA1471"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El activista y sociólogo Eduardo Restrepo (2018) señala que el feminicidio también está vinculado a factores como la pobreza y la desigualdad social. Las mujeres en situación de vulnerabilidad, como aquellas que viven en pobreza extrema o en zonas rurales, son más propensas a sufrir violencia de género y feminicidio. Restrepo argumenta que, para prevenir el feminicidio, es necesario implementar políticas públicas que aborden las desigualdades estructurales y que proporcionen a las mujeres las herramientas necesarias para salir de situaciones de violencia.</w:t>
      </w:r>
    </w:p>
    <w:p w14:paraId="721EF177" w14:textId="77777777" w:rsidR="00173545" w:rsidRPr="00E93A28"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El enfoque interdisciplinario es esencial para abordar el feminicidio desde todas sus dimensiones. La combinación de estudios de género, criminología, derecho y sociología permite una comprensión más profunda de las causas que subyacen al feminicidio. Es fundamental que las políticas públicas no solo se centren en la sanción de los feminicidios, sino también en la prevención de la violencia de género a través de la educación, la sensibilización y el empoderamiento de las mujeres.</w:t>
      </w:r>
    </w:p>
    <w:p w14:paraId="282247D6" w14:textId="77777777" w:rsidR="00173545" w:rsidRDefault="00173545" w:rsidP="00173545">
      <w:pPr>
        <w:spacing w:line="480" w:lineRule="auto"/>
        <w:ind w:firstLine="720"/>
        <w:jc w:val="both"/>
        <w:rPr>
          <w:rFonts w:ascii="Times New Roman" w:hAnsi="Times New Roman" w:cs="Times New Roman"/>
          <w:sz w:val="24"/>
          <w:szCs w:val="24"/>
        </w:rPr>
      </w:pPr>
      <w:r w:rsidRPr="00E93A28">
        <w:rPr>
          <w:rFonts w:ascii="Times New Roman" w:hAnsi="Times New Roman" w:cs="Times New Roman"/>
          <w:sz w:val="24"/>
          <w:szCs w:val="24"/>
        </w:rPr>
        <w:t>Finalmente, la erradicación del feminicidio en Colombia requiere un compromiso a largo plazo por parte del Estado, las instituciones y la sociedad en su conjunto. Las políticas públicas deben ser implementadas de manera efectiva, con un enfoque de derechos humanos y género, para garantizar que las mujeres puedan vivir libres de violencia. Esto implica no solo la aplicación estricta de las leyes, sino también la creación de un entorno social y cultural que promueva la igualdad de género y rechace la violencia en todas sus formas.</w:t>
      </w:r>
    </w:p>
    <w:p w14:paraId="462A9BE8" w14:textId="77777777" w:rsidR="00173545" w:rsidRPr="00205ED9" w:rsidRDefault="00173545" w:rsidP="00173545">
      <w:pPr>
        <w:pStyle w:val="Prrafodelista"/>
        <w:numPr>
          <w:ilvl w:val="1"/>
          <w:numId w:val="13"/>
        </w:numPr>
        <w:spacing w:line="480" w:lineRule="auto"/>
        <w:jc w:val="both"/>
        <w:rPr>
          <w:rFonts w:ascii="Times New Roman" w:hAnsi="Times New Roman" w:cs="Times New Roman"/>
          <w:b/>
          <w:bCs/>
          <w:sz w:val="24"/>
          <w:szCs w:val="24"/>
        </w:rPr>
      </w:pPr>
      <w:r w:rsidRPr="00205ED9">
        <w:rPr>
          <w:rFonts w:ascii="Times New Roman" w:hAnsi="Times New Roman" w:cs="Times New Roman"/>
          <w:b/>
          <w:bCs/>
          <w:sz w:val="24"/>
          <w:szCs w:val="24"/>
        </w:rPr>
        <w:t xml:space="preserve">Ocupación y Situación Económica </w:t>
      </w:r>
    </w:p>
    <w:p w14:paraId="6BABF1D7" w14:textId="77777777" w:rsidR="00173545" w:rsidRDefault="00173545" w:rsidP="00173545">
      <w:pPr>
        <w:spacing w:line="480" w:lineRule="auto"/>
        <w:ind w:left="720" w:firstLine="720"/>
        <w:jc w:val="both"/>
        <w:rPr>
          <w:rFonts w:ascii="Times New Roman" w:hAnsi="Times New Roman" w:cs="Times New Roman"/>
          <w:sz w:val="24"/>
          <w:szCs w:val="24"/>
        </w:rPr>
      </w:pPr>
      <w:r w:rsidRPr="00205ED9">
        <w:rPr>
          <w:rFonts w:ascii="Times New Roman" w:hAnsi="Times New Roman" w:cs="Times New Roman"/>
          <w:sz w:val="24"/>
          <w:szCs w:val="24"/>
        </w:rPr>
        <w:t>En cuanto a la ocupación, muchas víctimas de feminicidio en Barranquilla pertenecían al sector informal o se encontraban desempleadas. Algunas se dedicaban a oficios domésticos no remunerados, como amas de casa, mientras que otras realizaban trabajos precarios como ventas ambulantes o actividades de servicio en condiciones de informalidad. La precariedad laboral y la dependencia económica de sus parejas o familiares masculinos dificultan el rompimiento de los ciclos de violencia, especialmente cuando no existen redes de apoyo efectivas. Esta relación entre feminicidio y pobreza estructural resalta la necesidad de incorporar un enfoque interseccional que considere cómo la exclusión económica contribuye a la perpetuación de la violencia contra las mujeres.</w:t>
      </w:r>
    </w:p>
    <w:p w14:paraId="3E69A7C9" w14:textId="77777777" w:rsidR="00173545" w:rsidRPr="00205ED9" w:rsidRDefault="00173545" w:rsidP="00173545">
      <w:pPr>
        <w:spacing w:line="480" w:lineRule="auto"/>
        <w:ind w:left="720" w:firstLine="720"/>
        <w:jc w:val="both"/>
        <w:rPr>
          <w:rFonts w:ascii="Times New Roman" w:hAnsi="Times New Roman" w:cs="Times New Roman"/>
          <w:sz w:val="24"/>
          <w:szCs w:val="24"/>
        </w:rPr>
      </w:pPr>
      <w:r w:rsidRPr="00205ED9">
        <w:rPr>
          <w:rFonts w:ascii="Times New Roman" w:hAnsi="Times New Roman" w:cs="Times New Roman"/>
          <w:sz w:val="24"/>
          <w:szCs w:val="24"/>
        </w:rPr>
        <w:t>La situación económica de las víctimas de feminicidio en la región está marcada, en muchos casos, por una fuerte dependencia económica del agresor. Muchas de las mujeres asesinadas se encontraban dedicadas exclusivamente al trabajo doméstico no remunerado o a la crianza de hijos e hijas, lo que les impedía generar ingresos propios. Esta dependencia se convierte en una barrera significativa para abandonar relaciones violentas, especialmente cuando no existe un respaldo institucional efectivo que garantice alternativas de protección y sostenimiento económico. En estos contextos, el control financiero se vuelve una herramienta de sometimiento, donde el agresor restringe los recursos, limita el acceso a bienes básicos y utiliza el dinero como un mecanismo de poder y castigo.</w:t>
      </w:r>
    </w:p>
    <w:p w14:paraId="7656AC66" w14:textId="77777777" w:rsidR="00173545" w:rsidRPr="00205ED9" w:rsidRDefault="00173545" w:rsidP="00173545">
      <w:pPr>
        <w:spacing w:line="480" w:lineRule="auto"/>
        <w:ind w:left="720" w:firstLine="720"/>
        <w:jc w:val="both"/>
        <w:rPr>
          <w:rFonts w:ascii="Times New Roman" w:hAnsi="Times New Roman" w:cs="Times New Roman"/>
          <w:sz w:val="24"/>
          <w:szCs w:val="24"/>
        </w:rPr>
      </w:pPr>
      <w:r w:rsidRPr="00205ED9">
        <w:rPr>
          <w:rFonts w:ascii="Times New Roman" w:hAnsi="Times New Roman" w:cs="Times New Roman"/>
          <w:sz w:val="24"/>
          <w:szCs w:val="24"/>
        </w:rPr>
        <w:t>Además, las víctimas que sí trabajaban en el sector informal enfrentaban condiciones laborales inestables, sin acceso a seguridad social, prestaciones o garantías mínimas. Vendedoras ambulantes, trabajadoras domésticas externas, cuidadoras o empleadas por cuenta propia eran comúnmente parte de este grupo. La inestabilidad de sus ingresos, sumada a largas jornadas laborales y la ausencia de protección laboral, las dejaba expuestas no solo a la precarización, sino también a una doble carga: sostener económicamente a su familia y enfrentar la violencia en sus hogares. Esta realidad laboral no solo limita las posibilidades de empoderamiento económico, sino que reduce el tiempo y la energía disponible para buscar ayuda, asistir a comisarías, o sostener procesos judiciales.</w:t>
      </w:r>
    </w:p>
    <w:p w14:paraId="7620B1D9" w14:textId="77777777" w:rsidR="00173545" w:rsidRDefault="00173545" w:rsidP="00173545">
      <w:pPr>
        <w:spacing w:line="480" w:lineRule="auto"/>
        <w:ind w:left="720" w:firstLine="720"/>
        <w:jc w:val="both"/>
        <w:rPr>
          <w:rFonts w:ascii="Times New Roman" w:hAnsi="Times New Roman" w:cs="Times New Roman"/>
          <w:sz w:val="24"/>
          <w:szCs w:val="24"/>
        </w:rPr>
      </w:pPr>
      <w:r w:rsidRPr="00205ED9">
        <w:rPr>
          <w:rFonts w:ascii="Times New Roman" w:hAnsi="Times New Roman" w:cs="Times New Roman"/>
          <w:sz w:val="24"/>
          <w:szCs w:val="24"/>
        </w:rPr>
        <w:t>En algunos casos, también se documentaron historias de mujeres emprendedoras, estudiantes o trabajadoras formales que fueron víctimas de feminicidio, lo cual demuestra que la ocupación en sí no garantiza protección si el entorno social y relacional sigue reproduciendo patrones machistas. Muchas de estas mujeres fueron asesinadas cuando intentaron independizarse económicamente o romper con relaciones abusivas, momentos que suelen ser críticos y altamente peligrosos. En este sentido, la autonomía económica, si no va acompañada de redes de apoyo, protección institucional y conciencia social, puede desencadenar represalias violentas. Por ello, es fundamental que las políticas de empoderamiento económico para mujeres en situación de violencia estén articuladas con programas de atención psicosocial, acompañamiento legal y medidas de protección urgentes</w:t>
      </w:r>
      <w:r>
        <w:rPr>
          <w:rFonts w:ascii="Times New Roman" w:hAnsi="Times New Roman" w:cs="Times New Roman"/>
          <w:sz w:val="24"/>
          <w:szCs w:val="24"/>
        </w:rPr>
        <w:t>.</w:t>
      </w:r>
    </w:p>
    <w:p w14:paraId="1C4D53D5" w14:textId="77777777" w:rsidR="00850AE2" w:rsidRDefault="00850AE2" w:rsidP="00173545">
      <w:pPr>
        <w:spacing w:line="480" w:lineRule="auto"/>
        <w:ind w:left="720" w:firstLine="720"/>
        <w:jc w:val="both"/>
        <w:rPr>
          <w:rFonts w:ascii="Times New Roman" w:hAnsi="Times New Roman" w:cs="Times New Roman"/>
          <w:sz w:val="24"/>
          <w:szCs w:val="24"/>
        </w:rPr>
      </w:pPr>
    </w:p>
    <w:p w14:paraId="0162AADB" w14:textId="4135FAB4" w:rsidR="00850AE2" w:rsidRDefault="00850AE2" w:rsidP="00850AE2">
      <w:pPr>
        <w:spacing w:line="480" w:lineRule="auto"/>
        <w:ind w:firstLine="720"/>
        <w:rPr>
          <w:rFonts w:ascii="Times New Roman" w:hAnsi="Times New Roman" w:cs="Times New Roman"/>
          <w:b/>
          <w:bCs/>
          <w:sz w:val="24"/>
          <w:szCs w:val="24"/>
        </w:rPr>
      </w:pPr>
      <w:r w:rsidRPr="00B9730D">
        <w:rPr>
          <w:rFonts w:ascii="Times New Roman" w:hAnsi="Times New Roman" w:cs="Times New Roman"/>
          <w:b/>
          <w:bCs/>
          <w:sz w:val="24"/>
          <w:szCs w:val="24"/>
        </w:rPr>
        <w:t xml:space="preserve">Capítulo </w:t>
      </w:r>
      <w:r>
        <w:rPr>
          <w:rFonts w:ascii="Times New Roman" w:hAnsi="Times New Roman" w:cs="Times New Roman"/>
          <w:b/>
          <w:bCs/>
          <w:sz w:val="24"/>
          <w:szCs w:val="24"/>
        </w:rPr>
        <w:t>I</w:t>
      </w:r>
      <w:r w:rsidRPr="00B9730D">
        <w:rPr>
          <w:rFonts w:ascii="Times New Roman" w:hAnsi="Times New Roman" w:cs="Times New Roman"/>
          <w:b/>
          <w:bCs/>
          <w:sz w:val="24"/>
          <w:szCs w:val="24"/>
        </w:rPr>
        <w:t xml:space="preserve">I: </w:t>
      </w:r>
      <w:r w:rsidRPr="00850AE2">
        <w:rPr>
          <w:rFonts w:ascii="Times New Roman" w:hAnsi="Times New Roman" w:cs="Times New Roman"/>
          <w:b/>
          <w:bCs/>
          <w:sz w:val="24"/>
          <w:szCs w:val="24"/>
        </w:rPr>
        <w:t>Factores sociales y culturales que influyen en la ocurrencia del feminicidio en Barranquilla y su área metropolitana</w:t>
      </w:r>
    </w:p>
    <w:p w14:paraId="6AA4B401" w14:textId="77777777" w:rsidR="00850AE2" w:rsidRPr="00850AE2" w:rsidRDefault="00850AE2" w:rsidP="00850AE2">
      <w:pPr>
        <w:spacing w:line="480" w:lineRule="auto"/>
        <w:ind w:firstLine="720"/>
        <w:rPr>
          <w:rFonts w:ascii="Times New Roman" w:hAnsi="Times New Roman" w:cs="Times New Roman"/>
          <w:b/>
          <w:bCs/>
          <w:sz w:val="24"/>
          <w:szCs w:val="24"/>
        </w:rPr>
      </w:pPr>
      <w:r w:rsidRPr="00850AE2">
        <w:rPr>
          <w:rFonts w:ascii="Times New Roman" w:hAnsi="Times New Roman" w:cs="Times New Roman"/>
          <w:b/>
          <w:bCs/>
          <w:sz w:val="24"/>
          <w:szCs w:val="24"/>
        </w:rPr>
        <w:t>2.1. Normas culturales patriarcales y naturalización de la violencia</w:t>
      </w:r>
    </w:p>
    <w:p w14:paraId="4B9A8459"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El feminicidio en Barranquilla y su área metropolitana no puede comprenderse sin examinar las normas culturales profundamente arraigadas que reproducen el machismo y la desigualdad de género. En contextos donde se espera que las mujeres se adhieran a roles tradicionales, como la sumisión, la obediencia y la dependencia económica, cualquier transgresión de estas expectativas puede provocar reacciones violentas por parte de sus parejas o exparejas.</w:t>
      </w:r>
    </w:p>
    <w:p w14:paraId="01D41916"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En el Caribe colombiano, existe una fuerte influencia de patrones culturales que exaltan la masculinidad dominante y legitiman el control del hombre sobre la mujer. Esta visión patriarcal, heredada históricamente y reforzada por estructuras sociales como la familia, la religión y los medios de comunicación, ha contribuido a la naturalización de la violencia contra las mujeres, justificándola en muchos casos como una “reacción emocional” o un “asunto privado”.</w:t>
      </w:r>
    </w:p>
    <w:p w14:paraId="40D310CC"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Las investigaciones revisadas muestran que muchas víctimas de feminicidio habían denunciado previamente situaciones de violencia intrafamiliar, pero sus casos no fueron tratados con la debida seriedad por parte de las autoridades. Esto revela no solo la debilidad institucional, sino también una cultura que tiende a minimizar las señales de alerta y responsabiliza a las víctimas de su propia situación.</w:t>
      </w:r>
    </w:p>
    <w:p w14:paraId="7C38379A"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Un estudio realizado por la Fundación Caribe Afirmativo (2022) documentó que el 74% de los casos de feminicidio en la región Caribe tenían antecedentes de violencia de pareja o expareja. Esta cifra pone en evidencia la urgencia de intervenir no solo en el ámbito jurídico, sino también en la transformación cultural de las comunidades donde persisten mitos como “los celos son una prueba de amor” o “los problemas de pareja se resuelven en casa”.</w:t>
      </w:r>
    </w:p>
    <w:p w14:paraId="13BA0975"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La música popular, los refranes y las prácticas cotidianas reproducen narrativas de dominación masculina que invisibilizan el consentimiento y promueven el control sobre el cuerpo y la vida de las mujeres. Esta reproducción simbólica tiene consecuencias materiales: la violencia se perpetúa cuando está normalizada en los discursos familiares y en los espacios públicos.</w:t>
      </w:r>
    </w:p>
    <w:p w14:paraId="63098061"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Un cuadro comparativo con frases típicas que refuerzan estereotipos de género y sus implicaciones en la percepción de la violencia podría ayudar a ilustrar este fenómeno (ver Cuadro 1). Dicho cuadro puede integrarse como recurso pedagógico en campañas de prevención cultural.</w:t>
      </w:r>
    </w:p>
    <w:p w14:paraId="7E8EEFE3" w14:textId="77777777" w:rsidR="00850AE2" w:rsidRPr="00850AE2" w:rsidRDefault="00850AE2" w:rsidP="00850AE2">
      <w:pPr>
        <w:spacing w:line="480" w:lineRule="auto"/>
        <w:ind w:firstLine="720"/>
        <w:jc w:val="both"/>
        <w:rPr>
          <w:rFonts w:ascii="Times New Roman" w:hAnsi="Times New Roman" w:cs="Times New Roman"/>
          <w:b/>
          <w:bCs/>
          <w:sz w:val="24"/>
          <w:szCs w:val="24"/>
        </w:rPr>
      </w:pPr>
      <w:r w:rsidRPr="00850AE2">
        <w:rPr>
          <w:rFonts w:ascii="Times New Roman" w:hAnsi="Times New Roman" w:cs="Times New Roman"/>
          <w:b/>
          <w:bCs/>
          <w:sz w:val="24"/>
          <w:szCs w:val="24"/>
        </w:rPr>
        <w:t>Cuadro 1. Ejemplos de expresiones comunes que refuerzan la desigualdad de género</w:t>
      </w:r>
    </w:p>
    <w:tbl>
      <w:tblPr>
        <w:tblStyle w:val="Tablaconcuadrcula4-nfasis5"/>
        <w:tblW w:w="0" w:type="auto"/>
        <w:jc w:val="center"/>
        <w:tblLook w:val="04A0" w:firstRow="1" w:lastRow="0" w:firstColumn="1" w:lastColumn="0" w:noHBand="0" w:noVBand="1"/>
      </w:tblPr>
      <w:tblGrid>
        <w:gridCol w:w="2843"/>
        <w:gridCol w:w="3448"/>
        <w:gridCol w:w="3059"/>
      </w:tblGrid>
      <w:tr w:rsidR="00850AE2" w:rsidRPr="00850AE2" w14:paraId="188F0405" w14:textId="77777777" w:rsidTr="00850AE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C95D1D3" w14:textId="77777777" w:rsidR="00850AE2" w:rsidRPr="00850AE2" w:rsidRDefault="00850AE2" w:rsidP="00850AE2">
            <w:pPr>
              <w:spacing w:after="160" w:line="480" w:lineRule="auto"/>
              <w:ind w:firstLine="720"/>
              <w:jc w:val="both"/>
              <w:rPr>
                <w:rFonts w:ascii="Times New Roman" w:hAnsi="Times New Roman" w:cs="Times New Roman"/>
                <w:b w:val="0"/>
                <w:bCs w:val="0"/>
                <w:sz w:val="24"/>
                <w:szCs w:val="24"/>
              </w:rPr>
            </w:pPr>
            <w:r w:rsidRPr="00850AE2">
              <w:rPr>
                <w:rFonts w:ascii="Times New Roman" w:hAnsi="Times New Roman" w:cs="Times New Roman"/>
                <w:b w:val="0"/>
                <w:bCs w:val="0"/>
                <w:sz w:val="24"/>
                <w:szCs w:val="24"/>
              </w:rPr>
              <w:t>Expresión típica</w:t>
            </w:r>
          </w:p>
        </w:tc>
        <w:tc>
          <w:tcPr>
            <w:tcW w:w="0" w:type="auto"/>
            <w:hideMark/>
          </w:tcPr>
          <w:p w14:paraId="2A9F56F5" w14:textId="77777777" w:rsidR="00850AE2" w:rsidRPr="00850AE2" w:rsidRDefault="00850AE2" w:rsidP="00850AE2">
            <w:pPr>
              <w:spacing w:after="160" w:line="480" w:lineRule="auto"/>
              <w:ind w:firstLine="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Implicación cultural</w:t>
            </w:r>
          </w:p>
        </w:tc>
        <w:tc>
          <w:tcPr>
            <w:tcW w:w="0" w:type="auto"/>
            <w:hideMark/>
          </w:tcPr>
          <w:p w14:paraId="3DD7BD89" w14:textId="77777777" w:rsidR="00850AE2" w:rsidRPr="00850AE2" w:rsidRDefault="00850AE2" w:rsidP="00850AE2">
            <w:pPr>
              <w:spacing w:after="160" w:line="480" w:lineRule="auto"/>
              <w:ind w:firstLine="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Riesgo asociado</w:t>
            </w:r>
          </w:p>
        </w:tc>
      </w:tr>
      <w:tr w:rsidR="00850AE2" w:rsidRPr="00850AE2" w14:paraId="3496B396" w14:textId="77777777" w:rsidTr="00850AE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199DFBA" w14:textId="1716E860" w:rsidR="00850AE2" w:rsidRPr="00850AE2" w:rsidRDefault="00850AE2" w:rsidP="00850AE2">
            <w:pPr>
              <w:spacing w:after="160" w:line="480" w:lineRule="auto"/>
              <w:jc w:val="both"/>
              <w:rPr>
                <w:rFonts w:ascii="Times New Roman" w:hAnsi="Times New Roman" w:cs="Times New Roman"/>
                <w:sz w:val="24"/>
                <w:szCs w:val="24"/>
              </w:rPr>
            </w:pPr>
            <w:r w:rsidRPr="00850AE2">
              <w:rPr>
                <w:rFonts w:ascii="Times New Roman" w:hAnsi="Times New Roman" w:cs="Times New Roman"/>
                <w:b w:val="0"/>
                <w:bCs w:val="0"/>
                <w:sz w:val="24"/>
                <w:szCs w:val="24"/>
              </w:rPr>
              <w:t>“El hombre es el que manda”</w:t>
            </w:r>
          </w:p>
        </w:tc>
        <w:tc>
          <w:tcPr>
            <w:tcW w:w="0" w:type="auto"/>
            <w:hideMark/>
          </w:tcPr>
          <w:p w14:paraId="4728A6FB" w14:textId="77777777" w:rsidR="00850AE2" w:rsidRPr="00850AE2" w:rsidRDefault="00850AE2" w:rsidP="00850AE2">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Legitima el control masculino</w:t>
            </w:r>
          </w:p>
        </w:tc>
        <w:tc>
          <w:tcPr>
            <w:tcW w:w="0" w:type="auto"/>
            <w:hideMark/>
          </w:tcPr>
          <w:p w14:paraId="7D9ABECD" w14:textId="77777777" w:rsidR="00850AE2" w:rsidRPr="00850AE2" w:rsidRDefault="00850AE2" w:rsidP="00850AE2">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Subordinación de la mujer</w:t>
            </w:r>
          </w:p>
        </w:tc>
      </w:tr>
      <w:tr w:rsidR="00850AE2" w:rsidRPr="00850AE2" w14:paraId="488D6287" w14:textId="77777777" w:rsidTr="00850AE2">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47457BD" w14:textId="77777777" w:rsidR="00850AE2" w:rsidRPr="00850AE2" w:rsidRDefault="00850AE2" w:rsidP="00850AE2">
            <w:pPr>
              <w:spacing w:after="160" w:line="480" w:lineRule="auto"/>
              <w:jc w:val="both"/>
              <w:rPr>
                <w:rFonts w:ascii="Times New Roman" w:hAnsi="Times New Roman" w:cs="Times New Roman"/>
                <w:b w:val="0"/>
                <w:bCs w:val="0"/>
                <w:sz w:val="24"/>
                <w:szCs w:val="24"/>
              </w:rPr>
            </w:pPr>
            <w:r w:rsidRPr="00850AE2">
              <w:rPr>
                <w:rFonts w:ascii="Times New Roman" w:hAnsi="Times New Roman" w:cs="Times New Roman"/>
                <w:b w:val="0"/>
                <w:bCs w:val="0"/>
                <w:sz w:val="24"/>
                <w:szCs w:val="24"/>
              </w:rPr>
              <w:t>“Se lo buscó por contestona”</w:t>
            </w:r>
          </w:p>
        </w:tc>
        <w:tc>
          <w:tcPr>
            <w:tcW w:w="0" w:type="auto"/>
            <w:hideMark/>
          </w:tcPr>
          <w:p w14:paraId="4E56A3C2" w14:textId="77777777" w:rsidR="00850AE2" w:rsidRPr="00850AE2" w:rsidRDefault="00850AE2" w:rsidP="00850AE2">
            <w:pPr>
              <w:spacing w:after="160"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Culpa a la víctima por responder</w:t>
            </w:r>
          </w:p>
        </w:tc>
        <w:tc>
          <w:tcPr>
            <w:tcW w:w="0" w:type="auto"/>
            <w:hideMark/>
          </w:tcPr>
          <w:p w14:paraId="6CD528DC" w14:textId="77777777" w:rsidR="00850AE2" w:rsidRPr="00850AE2" w:rsidRDefault="00850AE2" w:rsidP="00850AE2">
            <w:pPr>
              <w:spacing w:after="160"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Justificación de la violencia</w:t>
            </w:r>
          </w:p>
        </w:tc>
      </w:tr>
      <w:tr w:rsidR="00850AE2" w:rsidRPr="00850AE2" w14:paraId="244039D0" w14:textId="77777777" w:rsidTr="00850AE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7309B061" w14:textId="77777777" w:rsidR="00850AE2" w:rsidRPr="00850AE2" w:rsidRDefault="00850AE2" w:rsidP="00850AE2">
            <w:pPr>
              <w:spacing w:after="160" w:line="480" w:lineRule="auto"/>
              <w:jc w:val="both"/>
              <w:rPr>
                <w:rFonts w:ascii="Times New Roman" w:hAnsi="Times New Roman" w:cs="Times New Roman"/>
                <w:b w:val="0"/>
                <w:bCs w:val="0"/>
                <w:sz w:val="24"/>
                <w:szCs w:val="24"/>
              </w:rPr>
            </w:pPr>
            <w:r w:rsidRPr="00850AE2">
              <w:rPr>
                <w:rFonts w:ascii="Times New Roman" w:hAnsi="Times New Roman" w:cs="Times New Roman"/>
                <w:b w:val="0"/>
                <w:bCs w:val="0"/>
                <w:sz w:val="24"/>
                <w:szCs w:val="24"/>
              </w:rPr>
              <w:t>“Si no te cela, no te ama”</w:t>
            </w:r>
          </w:p>
        </w:tc>
        <w:tc>
          <w:tcPr>
            <w:tcW w:w="0" w:type="auto"/>
            <w:hideMark/>
          </w:tcPr>
          <w:p w14:paraId="55C06330" w14:textId="77777777" w:rsidR="00850AE2" w:rsidRPr="00850AE2" w:rsidRDefault="00850AE2" w:rsidP="00850AE2">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Confunde control con amor</w:t>
            </w:r>
          </w:p>
        </w:tc>
        <w:tc>
          <w:tcPr>
            <w:tcW w:w="0" w:type="auto"/>
            <w:hideMark/>
          </w:tcPr>
          <w:p w14:paraId="50A9FC48" w14:textId="77777777" w:rsidR="00850AE2" w:rsidRPr="00850AE2" w:rsidRDefault="00850AE2" w:rsidP="00850AE2">
            <w:pPr>
              <w:spacing w:after="160"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Normaliza el acoso y la agresión</w:t>
            </w:r>
          </w:p>
        </w:tc>
      </w:tr>
      <w:tr w:rsidR="00850AE2" w:rsidRPr="00850AE2" w14:paraId="57B94C38" w14:textId="77777777" w:rsidTr="00850AE2">
        <w:trPr>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4EF6AA5E" w14:textId="77777777" w:rsidR="00850AE2" w:rsidRPr="00850AE2" w:rsidRDefault="00850AE2" w:rsidP="00850AE2">
            <w:pPr>
              <w:spacing w:after="160" w:line="480" w:lineRule="auto"/>
              <w:jc w:val="both"/>
              <w:rPr>
                <w:rFonts w:ascii="Times New Roman" w:hAnsi="Times New Roman" w:cs="Times New Roman"/>
                <w:b w:val="0"/>
                <w:bCs w:val="0"/>
                <w:sz w:val="24"/>
                <w:szCs w:val="24"/>
              </w:rPr>
            </w:pPr>
            <w:r w:rsidRPr="00850AE2">
              <w:rPr>
                <w:rFonts w:ascii="Times New Roman" w:hAnsi="Times New Roman" w:cs="Times New Roman"/>
                <w:b w:val="0"/>
                <w:bCs w:val="0"/>
                <w:sz w:val="24"/>
                <w:szCs w:val="24"/>
              </w:rPr>
              <w:t>“En casa no se mete nadie”</w:t>
            </w:r>
          </w:p>
        </w:tc>
        <w:tc>
          <w:tcPr>
            <w:tcW w:w="0" w:type="auto"/>
            <w:hideMark/>
          </w:tcPr>
          <w:p w14:paraId="67F2AEC3" w14:textId="77777777" w:rsidR="00850AE2" w:rsidRPr="00850AE2" w:rsidRDefault="00850AE2" w:rsidP="00850AE2">
            <w:pPr>
              <w:spacing w:after="160"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Invisibiliza la violencia intrafamiliar</w:t>
            </w:r>
          </w:p>
        </w:tc>
        <w:tc>
          <w:tcPr>
            <w:tcW w:w="0" w:type="auto"/>
            <w:hideMark/>
          </w:tcPr>
          <w:p w14:paraId="64276E24" w14:textId="77777777" w:rsidR="00850AE2" w:rsidRPr="00850AE2" w:rsidRDefault="00850AE2" w:rsidP="00850AE2">
            <w:pPr>
              <w:spacing w:after="160" w:line="48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Falta de denuncia</w:t>
            </w:r>
          </w:p>
        </w:tc>
      </w:tr>
    </w:tbl>
    <w:p w14:paraId="2FCD630E" w14:textId="77777777" w:rsidR="00850AE2" w:rsidRDefault="00850AE2" w:rsidP="00850AE2">
      <w:pPr>
        <w:spacing w:line="480" w:lineRule="auto"/>
        <w:ind w:firstLine="720"/>
        <w:jc w:val="both"/>
        <w:rPr>
          <w:rFonts w:ascii="Times New Roman" w:hAnsi="Times New Roman" w:cs="Times New Roman"/>
          <w:sz w:val="24"/>
          <w:szCs w:val="24"/>
        </w:rPr>
      </w:pPr>
    </w:p>
    <w:p w14:paraId="7AADE4D2" w14:textId="1EB56416"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Estas expresiones reflejan la necesidad de reeducar a la población en valores de equidad y respeto por la autonomía de las mujeres. Las intervenciones en educación básica y media, así como las campañas mediáticas, deben apuntar a desmontar estos discursos.</w:t>
      </w:r>
    </w:p>
    <w:p w14:paraId="7C303C61" w14:textId="77777777" w:rsidR="00850AE2" w:rsidRPr="00850AE2" w:rsidRDefault="00850AE2" w:rsidP="00850AE2">
      <w:pPr>
        <w:spacing w:line="480" w:lineRule="auto"/>
        <w:ind w:firstLine="720"/>
        <w:jc w:val="both"/>
        <w:rPr>
          <w:rFonts w:ascii="Times New Roman" w:hAnsi="Times New Roman" w:cs="Times New Roman"/>
          <w:b/>
          <w:bCs/>
          <w:sz w:val="24"/>
          <w:szCs w:val="24"/>
        </w:rPr>
      </w:pPr>
      <w:r w:rsidRPr="00850AE2">
        <w:rPr>
          <w:rFonts w:ascii="Times New Roman" w:hAnsi="Times New Roman" w:cs="Times New Roman"/>
          <w:b/>
          <w:bCs/>
          <w:sz w:val="24"/>
          <w:szCs w:val="24"/>
        </w:rPr>
        <w:t>2.2. Condiciones socioeconómicas y acceso limitado a derechos</w:t>
      </w:r>
    </w:p>
    <w:p w14:paraId="61894B40"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El contexto socioeconómico también es un factor crucial para comprender la ocurrencia del feminicidio. En Barranquilla y su área metropolitana, muchas mujeres viven en condiciones de vulnerabilidad económica, lo que limita su capacidad de salir de relaciones violentas y acceder a sistemas de protección.</w:t>
      </w:r>
    </w:p>
    <w:p w14:paraId="6B18B362"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La pobreza, el desempleo y la informalidad afectan desproporcionadamente a las mujeres, especialmente a aquellas que son madres cabeza de hogar. En muchos casos, deben elegir entre soportar una relación violenta o enfrentar la inseguridad económica, especialmente cuando tienen hijos a cargo.</w:t>
      </w:r>
    </w:p>
    <w:p w14:paraId="2DA6AE57"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Según datos del DANE (2023), el 60% de las mujeres en estratos 1 y 2 en Barranquilla trabajan en la economía informal, sin acceso a seguridad social ni ingresos estables. Esta falta de autonomía económica se convierte en un factor de riesgo directo, ya que la dependencia financiera incrementa el control ejercido por los agresores.</w:t>
      </w:r>
    </w:p>
    <w:p w14:paraId="6E7AFD45"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Asimismo, el acceso limitado a servicios de salud, atención psicológica y asesoría legal impide que las mujeres puedan tomar decisiones informadas sobre su protección. Si bien existen rutas de atención, muchas veces estas no son efectivas o las mujeres desconocen su funcionamiento.</w:t>
      </w:r>
    </w:p>
    <w:p w14:paraId="7F532CB5" w14:textId="77777777"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Un gráfico circular con la distribución porcentual de acceso a servicios de protección por estrato social podría ilustrar visualmente esta disparidad y reforzar la necesidad de fortalecer las políticas focalizadas.</w:t>
      </w:r>
    </w:p>
    <w:p w14:paraId="34E72AA5" w14:textId="484EC732"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Otro aspecto por considerar es la interseccionalidad. Las mujeres afrodescendientes, indígenas y migrantes enfrentan barreras adicionales para denunciar, debido a la discriminación institucional y la falta de representación cultural en los servicios disponibles.</w:t>
      </w:r>
    </w:p>
    <w:p w14:paraId="235BBE68" w14:textId="3FA8C22C" w:rsidR="00850AE2" w:rsidRPr="00850AE2" w:rsidRDefault="00850AE2" w:rsidP="00850AE2">
      <w:pPr>
        <w:spacing w:line="480" w:lineRule="auto"/>
        <w:ind w:firstLine="720"/>
        <w:jc w:val="both"/>
        <w:rPr>
          <w:rFonts w:ascii="Times New Roman" w:hAnsi="Times New Roman" w:cs="Times New Roman"/>
          <w:sz w:val="24"/>
          <w:szCs w:val="24"/>
        </w:rPr>
      </w:pPr>
      <w:r w:rsidRPr="00850AE2">
        <w:rPr>
          <w:rFonts w:ascii="Times New Roman" w:hAnsi="Times New Roman" w:cs="Times New Roman"/>
          <w:sz w:val="24"/>
          <w:szCs w:val="24"/>
        </w:rPr>
        <w:t xml:space="preserve">En </w:t>
      </w:r>
      <w:r>
        <w:rPr>
          <w:rFonts w:ascii="Times New Roman" w:hAnsi="Times New Roman" w:cs="Times New Roman"/>
          <w:sz w:val="24"/>
          <w:szCs w:val="24"/>
        </w:rPr>
        <w:t>conclusión</w:t>
      </w:r>
      <w:r w:rsidRPr="00850AE2">
        <w:rPr>
          <w:rFonts w:ascii="Times New Roman" w:hAnsi="Times New Roman" w:cs="Times New Roman"/>
          <w:sz w:val="24"/>
          <w:szCs w:val="24"/>
        </w:rPr>
        <w:t>, la conjunción entre normas culturales patriarcales y condiciones estructurales de exclusión social constituye un entorno propicio para la reproducción del feminicidio. Cualquier política de prevención debe considerar estos factores de manera integral, con enfoque interseccional, territorial y de género.</w:t>
      </w:r>
    </w:p>
    <w:p w14:paraId="399B6A18" w14:textId="77777777" w:rsidR="00850AE2" w:rsidRDefault="00850AE2" w:rsidP="00850AE2">
      <w:pPr>
        <w:spacing w:line="480" w:lineRule="auto"/>
        <w:ind w:firstLine="720"/>
        <w:rPr>
          <w:rFonts w:ascii="Times New Roman" w:hAnsi="Times New Roman" w:cs="Times New Roman"/>
          <w:b/>
          <w:bCs/>
          <w:sz w:val="24"/>
          <w:szCs w:val="24"/>
        </w:rPr>
      </w:pPr>
    </w:p>
    <w:p w14:paraId="245977A2" w14:textId="289FF787" w:rsidR="00850AE2" w:rsidRPr="00850AE2" w:rsidRDefault="00850AE2" w:rsidP="00850AE2">
      <w:pPr>
        <w:spacing w:line="480" w:lineRule="auto"/>
        <w:ind w:firstLine="720"/>
        <w:rPr>
          <w:rFonts w:ascii="Times New Roman" w:hAnsi="Times New Roman" w:cs="Times New Roman"/>
          <w:b/>
          <w:bCs/>
          <w:sz w:val="24"/>
          <w:szCs w:val="24"/>
        </w:rPr>
      </w:pPr>
      <w:r w:rsidRPr="00850AE2">
        <w:rPr>
          <w:rFonts w:ascii="Times New Roman" w:hAnsi="Times New Roman" w:cs="Times New Roman"/>
          <w:b/>
          <w:bCs/>
          <w:sz w:val="24"/>
          <w:szCs w:val="24"/>
        </w:rPr>
        <w:t>Capítulo III: Políticas públicas para enfrentar la violencia contra las mujeres y el feminicidio en Barranquilla</w:t>
      </w:r>
    </w:p>
    <w:p w14:paraId="174F4FB4" w14:textId="77777777" w:rsidR="00850AE2" w:rsidRPr="00850AE2" w:rsidRDefault="00850AE2" w:rsidP="00850AE2">
      <w:pPr>
        <w:spacing w:line="480" w:lineRule="auto"/>
        <w:ind w:firstLine="720"/>
        <w:rPr>
          <w:rFonts w:ascii="Times New Roman" w:hAnsi="Times New Roman" w:cs="Times New Roman"/>
          <w:b/>
          <w:bCs/>
          <w:sz w:val="24"/>
          <w:szCs w:val="24"/>
        </w:rPr>
      </w:pPr>
      <w:r w:rsidRPr="00850AE2">
        <w:rPr>
          <w:rFonts w:ascii="Times New Roman" w:hAnsi="Times New Roman" w:cs="Times New Roman"/>
          <w:b/>
          <w:bCs/>
          <w:sz w:val="24"/>
          <w:szCs w:val="24"/>
        </w:rPr>
        <w:t>3.1. Normativa nacional y su aplicación en el contexto local</w:t>
      </w:r>
    </w:p>
    <w:p w14:paraId="58B17BAA"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Colombia ha avanzado en la formulación de un marco normativo sólido para enfrentar la violencia de género, incluyendo el feminicidio como delito autónomo mediante la Ley 1761 de 2015, conocida como Ley Rosa Elvira Cely. Esta norma busca visibilizar el feminicidio y garantizar una respuesta penal ejemplar, sin embargo, su implementación a nivel local presenta retos importantes.</w:t>
      </w:r>
    </w:p>
    <w:p w14:paraId="2BE20958"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En Barranquilla, la aplicación de esta ley depende del trabajo articulado entre la Fiscalía, la Policía, las comisarías de familia y los juzgados. Sin embargo, los informes de organismos como la Procuraduría General de la Nación señalan que muchas veces las instituciones locales carecen de personal especializado y formación en enfoque de género.</w:t>
      </w:r>
    </w:p>
    <w:p w14:paraId="198D2D9E"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En 2021, la Alcaldía Distrital lanzó el programa “Barranquilla libre de violencias”, que incluyó estrategias de sensibilización, acompañamiento jurídico y fortalecimiento de las rutas de atención. No obstante, según organizaciones como Sisma Mujer, la cobertura de estas acciones ha sido limitada y no llega con igual intensidad a las localidades más vulnerables.</w:t>
      </w:r>
    </w:p>
    <w:p w14:paraId="581BC629"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La fragmentación institucional es otro problema. Las entidades encargadas de atender casos de violencia contra la mujer muchas veces no comparten información, lo que dificulta el seguimiento efectivo a los casos y aumenta el riesgo de impunidad. La creación de un sistema unificado de seguimiento a víctimas aún está en proceso.</w:t>
      </w:r>
    </w:p>
    <w:p w14:paraId="3C8E02D7"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Un cuadro de doble entrada podría ilustrar el nivel de implementación de la Ley 1761 en diferentes localidades del área metropolitana (ver Cuadro 2). Esta herramienta puede servir para identificar vacíos institucionales y zonas de mayor riesgo.</w:t>
      </w:r>
    </w:p>
    <w:p w14:paraId="2F0FB3D2"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Cuadro 2. Aplicación de la Ley 1761 en localidades del área metropolitana (2020–2024)</w:t>
      </w:r>
    </w:p>
    <w:tbl>
      <w:tblPr>
        <w:tblStyle w:val="Tablaconcuadrcula4-nfasis5"/>
        <w:tblW w:w="0" w:type="auto"/>
        <w:tblLook w:val="04A0" w:firstRow="1" w:lastRow="0" w:firstColumn="1" w:lastColumn="0" w:noHBand="0" w:noVBand="1"/>
      </w:tblPr>
      <w:tblGrid>
        <w:gridCol w:w="1748"/>
        <w:gridCol w:w="1534"/>
        <w:gridCol w:w="2262"/>
        <w:gridCol w:w="2132"/>
        <w:gridCol w:w="1674"/>
      </w:tblGrid>
      <w:tr w:rsidR="00850AE2" w:rsidRPr="00850AE2" w14:paraId="16B2E125" w14:textId="77777777" w:rsidTr="00850A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8723E3C" w14:textId="77777777" w:rsidR="00850AE2" w:rsidRPr="00850AE2" w:rsidRDefault="00850AE2" w:rsidP="00850AE2">
            <w:pPr>
              <w:spacing w:after="160" w:line="480" w:lineRule="auto"/>
              <w:jc w:val="center"/>
              <w:rPr>
                <w:rFonts w:ascii="Times New Roman" w:hAnsi="Times New Roman" w:cs="Times New Roman"/>
                <w:b w:val="0"/>
                <w:bCs w:val="0"/>
                <w:sz w:val="24"/>
                <w:szCs w:val="24"/>
              </w:rPr>
            </w:pPr>
            <w:r w:rsidRPr="00850AE2">
              <w:rPr>
                <w:rFonts w:ascii="Times New Roman" w:hAnsi="Times New Roman" w:cs="Times New Roman"/>
                <w:b w:val="0"/>
                <w:bCs w:val="0"/>
                <w:sz w:val="24"/>
                <w:szCs w:val="24"/>
              </w:rPr>
              <w:t>Localidad</w:t>
            </w:r>
          </w:p>
        </w:tc>
        <w:tc>
          <w:tcPr>
            <w:tcW w:w="0" w:type="auto"/>
            <w:hideMark/>
          </w:tcPr>
          <w:p w14:paraId="21CA2717" w14:textId="77777777" w:rsidR="00850AE2" w:rsidRPr="00850AE2" w:rsidRDefault="00850AE2" w:rsidP="00850AE2">
            <w:pPr>
              <w:spacing w:after="160"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Comisarías activas</w:t>
            </w:r>
          </w:p>
        </w:tc>
        <w:tc>
          <w:tcPr>
            <w:tcW w:w="0" w:type="auto"/>
            <w:hideMark/>
          </w:tcPr>
          <w:p w14:paraId="634A6609" w14:textId="77777777" w:rsidR="00850AE2" w:rsidRPr="00850AE2" w:rsidRDefault="00850AE2" w:rsidP="00850AE2">
            <w:pPr>
              <w:spacing w:after="160"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Unidades de Fiscalía especializadas</w:t>
            </w:r>
          </w:p>
        </w:tc>
        <w:tc>
          <w:tcPr>
            <w:tcW w:w="0" w:type="auto"/>
            <w:hideMark/>
          </w:tcPr>
          <w:p w14:paraId="38394874" w14:textId="77777777" w:rsidR="00850AE2" w:rsidRPr="00850AE2" w:rsidRDefault="00850AE2" w:rsidP="00850AE2">
            <w:pPr>
              <w:spacing w:after="160"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Cobertura de campañas de prevención</w:t>
            </w:r>
          </w:p>
        </w:tc>
        <w:tc>
          <w:tcPr>
            <w:tcW w:w="0" w:type="auto"/>
            <w:hideMark/>
          </w:tcPr>
          <w:p w14:paraId="089D542C" w14:textId="77777777" w:rsidR="00850AE2" w:rsidRPr="00850AE2" w:rsidRDefault="00850AE2" w:rsidP="00850AE2">
            <w:pPr>
              <w:spacing w:after="160"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850AE2">
              <w:rPr>
                <w:rFonts w:ascii="Times New Roman" w:hAnsi="Times New Roman" w:cs="Times New Roman"/>
                <w:b w:val="0"/>
                <w:bCs w:val="0"/>
                <w:sz w:val="24"/>
                <w:szCs w:val="24"/>
              </w:rPr>
              <w:t>Seguimiento a casos</w:t>
            </w:r>
          </w:p>
        </w:tc>
      </w:tr>
      <w:tr w:rsidR="00850AE2" w:rsidRPr="00850AE2" w14:paraId="73484F5E" w14:textId="77777777" w:rsidTr="00850A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7741504" w14:textId="77777777" w:rsidR="00850AE2" w:rsidRPr="00850AE2" w:rsidRDefault="00850AE2" w:rsidP="00850AE2">
            <w:pPr>
              <w:spacing w:after="160" w:line="480" w:lineRule="auto"/>
              <w:jc w:val="center"/>
              <w:rPr>
                <w:rFonts w:ascii="Times New Roman" w:hAnsi="Times New Roman" w:cs="Times New Roman"/>
                <w:b w:val="0"/>
                <w:bCs w:val="0"/>
                <w:sz w:val="24"/>
                <w:szCs w:val="24"/>
              </w:rPr>
            </w:pPr>
            <w:r w:rsidRPr="00850AE2">
              <w:rPr>
                <w:rFonts w:ascii="Times New Roman" w:hAnsi="Times New Roman" w:cs="Times New Roman"/>
                <w:b w:val="0"/>
                <w:bCs w:val="0"/>
                <w:sz w:val="24"/>
                <w:szCs w:val="24"/>
              </w:rPr>
              <w:t>Suroccidente</w:t>
            </w:r>
          </w:p>
        </w:tc>
        <w:tc>
          <w:tcPr>
            <w:tcW w:w="0" w:type="auto"/>
            <w:hideMark/>
          </w:tcPr>
          <w:p w14:paraId="6B572CB7"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2</w:t>
            </w:r>
          </w:p>
        </w:tc>
        <w:tc>
          <w:tcPr>
            <w:tcW w:w="0" w:type="auto"/>
            <w:hideMark/>
          </w:tcPr>
          <w:p w14:paraId="0A5B68C3"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No</w:t>
            </w:r>
          </w:p>
        </w:tc>
        <w:tc>
          <w:tcPr>
            <w:tcW w:w="0" w:type="auto"/>
            <w:hideMark/>
          </w:tcPr>
          <w:p w14:paraId="6FCEB31D"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Baja</w:t>
            </w:r>
          </w:p>
        </w:tc>
        <w:tc>
          <w:tcPr>
            <w:tcW w:w="0" w:type="auto"/>
            <w:hideMark/>
          </w:tcPr>
          <w:p w14:paraId="67BA5B2A"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Irregular</w:t>
            </w:r>
          </w:p>
        </w:tc>
      </w:tr>
      <w:tr w:rsidR="00850AE2" w:rsidRPr="00850AE2" w14:paraId="23F455A6" w14:textId="77777777" w:rsidTr="00850AE2">
        <w:tc>
          <w:tcPr>
            <w:cnfStyle w:val="001000000000" w:firstRow="0" w:lastRow="0" w:firstColumn="1" w:lastColumn="0" w:oddVBand="0" w:evenVBand="0" w:oddHBand="0" w:evenHBand="0" w:firstRowFirstColumn="0" w:firstRowLastColumn="0" w:lastRowFirstColumn="0" w:lastRowLastColumn="0"/>
            <w:tcW w:w="0" w:type="auto"/>
            <w:hideMark/>
          </w:tcPr>
          <w:p w14:paraId="3819C5AE" w14:textId="77777777" w:rsidR="00850AE2" w:rsidRPr="00850AE2" w:rsidRDefault="00850AE2" w:rsidP="00850AE2">
            <w:pPr>
              <w:spacing w:after="160" w:line="480" w:lineRule="auto"/>
              <w:jc w:val="center"/>
              <w:rPr>
                <w:rFonts w:ascii="Times New Roman" w:hAnsi="Times New Roman" w:cs="Times New Roman"/>
                <w:b w:val="0"/>
                <w:bCs w:val="0"/>
                <w:sz w:val="24"/>
                <w:szCs w:val="24"/>
              </w:rPr>
            </w:pPr>
            <w:r w:rsidRPr="00850AE2">
              <w:rPr>
                <w:rFonts w:ascii="Times New Roman" w:hAnsi="Times New Roman" w:cs="Times New Roman"/>
                <w:b w:val="0"/>
                <w:bCs w:val="0"/>
                <w:sz w:val="24"/>
                <w:szCs w:val="24"/>
              </w:rPr>
              <w:t>Metropolitana</w:t>
            </w:r>
          </w:p>
        </w:tc>
        <w:tc>
          <w:tcPr>
            <w:tcW w:w="0" w:type="auto"/>
            <w:hideMark/>
          </w:tcPr>
          <w:p w14:paraId="4FC179DA"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3</w:t>
            </w:r>
          </w:p>
        </w:tc>
        <w:tc>
          <w:tcPr>
            <w:tcW w:w="0" w:type="auto"/>
            <w:hideMark/>
          </w:tcPr>
          <w:p w14:paraId="4C6C91A3"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Sí</w:t>
            </w:r>
          </w:p>
        </w:tc>
        <w:tc>
          <w:tcPr>
            <w:tcW w:w="0" w:type="auto"/>
            <w:hideMark/>
          </w:tcPr>
          <w:p w14:paraId="7C1BF433"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Media</w:t>
            </w:r>
          </w:p>
        </w:tc>
        <w:tc>
          <w:tcPr>
            <w:tcW w:w="0" w:type="auto"/>
            <w:hideMark/>
          </w:tcPr>
          <w:p w14:paraId="57744E7F"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Parcial</w:t>
            </w:r>
          </w:p>
        </w:tc>
      </w:tr>
      <w:tr w:rsidR="00850AE2" w:rsidRPr="00850AE2" w14:paraId="506F2D07" w14:textId="77777777" w:rsidTr="00850AE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869047" w14:textId="77777777" w:rsidR="00850AE2" w:rsidRPr="00850AE2" w:rsidRDefault="00850AE2" w:rsidP="00850AE2">
            <w:pPr>
              <w:spacing w:after="160" w:line="480" w:lineRule="auto"/>
              <w:jc w:val="center"/>
              <w:rPr>
                <w:rFonts w:ascii="Times New Roman" w:hAnsi="Times New Roman" w:cs="Times New Roman"/>
                <w:b w:val="0"/>
                <w:bCs w:val="0"/>
                <w:sz w:val="24"/>
                <w:szCs w:val="24"/>
              </w:rPr>
            </w:pPr>
            <w:r w:rsidRPr="00850AE2">
              <w:rPr>
                <w:rFonts w:ascii="Times New Roman" w:hAnsi="Times New Roman" w:cs="Times New Roman"/>
                <w:b w:val="0"/>
                <w:bCs w:val="0"/>
                <w:sz w:val="24"/>
                <w:szCs w:val="24"/>
              </w:rPr>
              <w:t>Riomar</w:t>
            </w:r>
          </w:p>
        </w:tc>
        <w:tc>
          <w:tcPr>
            <w:tcW w:w="0" w:type="auto"/>
            <w:hideMark/>
          </w:tcPr>
          <w:p w14:paraId="1859DEDE"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1</w:t>
            </w:r>
          </w:p>
        </w:tc>
        <w:tc>
          <w:tcPr>
            <w:tcW w:w="0" w:type="auto"/>
            <w:hideMark/>
          </w:tcPr>
          <w:p w14:paraId="4AC7B3DA"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No</w:t>
            </w:r>
          </w:p>
        </w:tc>
        <w:tc>
          <w:tcPr>
            <w:tcW w:w="0" w:type="auto"/>
            <w:hideMark/>
          </w:tcPr>
          <w:p w14:paraId="6A4B9DCA"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Baja</w:t>
            </w:r>
          </w:p>
        </w:tc>
        <w:tc>
          <w:tcPr>
            <w:tcW w:w="0" w:type="auto"/>
            <w:hideMark/>
          </w:tcPr>
          <w:p w14:paraId="71F1484A" w14:textId="77777777" w:rsidR="00850AE2" w:rsidRPr="00850AE2" w:rsidRDefault="00850AE2" w:rsidP="00850AE2">
            <w:pPr>
              <w:spacing w:after="160"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Deficiente</w:t>
            </w:r>
          </w:p>
        </w:tc>
      </w:tr>
      <w:tr w:rsidR="00850AE2" w:rsidRPr="00850AE2" w14:paraId="6AA3B1FB" w14:textId="77777777" w:rsidTr="00850AE2">
        <w:tc>
          <w:tcPr>
            <w:cnfStyle w:val="001000000000" w:firstRow="0" w:lastRow="0" w:firstColumn="1" w:lastColumn="0" w:oddVBand="0" w:evenVBand="0" w:oddHBand="0" w:evenHBand="0" w:firstRowFirstColumn="0" w:firstRowLastColumn="0" w:lastRowFirstColumn="0" w:lastRowLastColumn="0"/>
            <w:tcW w:w="0" w:type="auto"/>
            <w:hideMark/>
          </w:tcPr>
          <w:p w14:paraId="541F3FFB" w14:textId="77777777" w:rsidR="00850AE2" w:rsidRPr="00850AE2" w:rsidRDefault="00850AE2" w:rsidP="00850AE2">
            <w:pPr>
              <w:spacing w:after="160" w:line="480" w:lineRule="auto"/>
              <w:jc w:val="center"/>
              <w:rPr>
                <w:rFonts w:ascii="Times New Roman" w:hAnsi="Times New Roman" w:cs="Times New Roman"/>
                <w:b w:val="0"/>
                <w:bCs w:val="0"/>
                <w:sz w:val="24"/>
                <w:szCs w:val="24"/>
              </w:rPr>
            </w:pPr>
            <w:r w:rsidRPr="00850AE2">
              <w:rPr>
                <w:rFonts w:ascii="Times New Roman" w:hAnsi="Times New Roman" w:cs="Times New Roman"/>
                <w:b w:val="0"/>
                <w:bCs w:val="0"/>
                <w:sz w:val="24"/>
                <w:szCs w:val="24"/>
              </w:rPr>
              <w:t>Soledad (Atlántico)</w:t>
            </w:r>
          </w:p>
        </w:tc>
        <w:tc>
          <w:tcPr>
            <w:tcW w:w="0" w:type="auto"/>
            <w:hideMark/>
          </w:tcPr>
          <w:p w14:paraId="4DE6633D"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4</w:t>
            </w:r>
          </w:p>
        </w:tc>
        <w:tc>
          <w:tcPr>
            <w:tcW w:w="0" w:type="auto"/>
            <w:hideMark/>
          </w:tcPr>
          <w:p w14:paraId="1A79F9F2"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Sí</w:t>
            </w:r>
          </w:p>
        </w:tc>
        <w:tc>
          <w:tcPr>
            <w:tcW w:w="0" w:type="auto"/>
            <w:hideMark/>
          </w:tcPr>
          <w:p w14:paraId="54768A23"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Alta</w:t>
            </w:r>
          </w:p>
        </w:tc>
        <w:tc>
          <w:tcPr>
            <w:tcW w:w="0" w:type="auto"/>
            <w:hideMark/>
          </w:tcPr>
          <w:p w14:paraId="629E36A8" w14:textId="77777777" w:rsidR="00850AE2" w:rsidRPr="00850AE2" w:rsidRDefault="00850AE2" w:rsidP="00850AE2">
            <w:pPr>
              <w:spacing w:after="160"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50AE2">
              <w:rPr>
                <w:rFonts w:ascii="Times New Roman" w:hAnsi="Times New Roman" w:cs="Times New Roman"/>
                <w:sz w:val="24"/>
                <w:szCs w:val="24"/>
              </w:rPr>
              <w:t>Regular</w:t>
            </w:r>
          </w:p>
        </w:tc>
      </w:tr>
    </w:tbl>
    <w:p w14:paraId="24EFDA0E"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El cuadro evidencia que, aunque existen avances, la respuesta institucional aún es desigual y requiere una mejor articulación con políticas de carácter estructural.</w:t>
      </w:r>
    </w:p>
    <w:p w14:paraId="208D05D5" w14:textId="77777777" w:rsidR="00850AE2" w:rsidRPr="00850AE2" w:rsidRDefault="00850AE2" w:rsidP="00850AE2">
      <w:pPr>
        <w:spacing w:line="480" w:lineRule="auto"/>
        <w:ind w:firstLine="720"/>
        <w:rPr>
          <w:rFonts w:ascii="Times New Roman" w:hAnsi="Times New Roman" w:cs="Times New Roman"/>
          <w:b/>
          <w:bCs/>
          <w:sz w:val="24"/>
          <w:szCs w:val="24"/>
        </w:rPr>
      </w:pPr>
      <w:r w:rsidRPr="00850AE2">
        <w:rPr>
          <w:rFonts w:ascii="Times New Roman" w:hAnsi="Times New Roman" w:cs="Times New Roman"/>
          <w:b/>
          <w:bCs/>
          <w:sz w:val="24"/>
          <w:szCs w:val="24"/>
        </w:rPr>
        <w:t>3.2. Iniciativas locales y participación comunitaria</w:t>
      </w:r>
    </w:p>
    <w:p w14:paraId="5D257F70"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A nivel local, se han desarrollado diversas iniciativas desde el gobierno distrital y organizaciones sociales para prevenir el feminicidio y brindar acompañamiento a las víctimas. Entre ellas se destaca la creación de Casas de Justicia y Centros de Atención Integral a la Mujer, donde se ofrece asesoría legal, atención psicológica y acompañamiento social.</w:t>
      </w:r>
    </w:p>
    <w:p w14:paraId="0296DB56"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La Casa Refugio “Nueva Vida”, por ejemplo, ha atendido a más de 600 mujeres en situación de riesgo desde 2020, brindando un espacio seguro temporal mientras se activan las medidas de protección. No obstante, su capacidad de cobertura sigue siendo limitada, especialmente frente al número de casos reportados.</w:t>
      </w:r>
    </w:p>
    <w:p w14:paraId="70691814"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Otra experiencia significativa es el trabajo de las mesas locales de mujeres, donde se articulan lideresas barriales, defensoras de derechos y representantes institucionales. Estas mesas han sido clave para visibilizar las problemáticas desde el territorio y proponer acciones ajustadas a las realidades locales.</w:t>
      </w:r>
    </w:p>
    <w:p w14:paraId="0ACDAD0F"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 xml:space="preserve">La participación comunitaria es fundamental para construir una cultura de prevención. Campañas como </w:t>
      </w:r>
      <w:r w:rsidRPr="00850AE2">
        <w:rPr>
          <w:rFonts w:ascii="Times New Roman" w:hAnsi="Times New Roman" w:cs="Times New Roman"/>
          <w:i/>
          <w:iCs/>
          <w:sz w:val="24"/>
          <w:szCs w:val="24"/>
        </w:rPr>
        <w:t>“Ni una más”</w:t>
      </w:r>
      <w:r w:rsidRPr="00850AE2">
        <w:rPr>
          <w:rFonts w:ascii="Times New Roman" w:hAnsi="Times New Roman" w:cs="Times New Roman"/>
          <w:sz w:val="24"/>
          <w:szCs w:val="24"/>
        </w:rPr>
        <w:t>, implementadas en colegios y espacios públicos, han logrado posicionar el tema del feminicidio en la agenda ciudadana, aunque aún se requiere mayor sostenibilidad y evaluación de impacto.</w:t>
      </w:r>
    </w:p>
    <w:p w14:paraId="0F74D153"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En cuanto a los desafíos, aún persiste una brecha entre las propuestas de política pública y su ejecución efectiva. Muchas acciones son reactivas y dependen del liderazgo político de turno, lo que afecta su continuidad.</w:t>
      </w:r>
    </w:p>
    <w:p w14:paraId="0F8F0B76"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Para lograr una respuesta más eficaz, se hace necesario avanzar en presupuestos con enfoque de género, formación de servidores públicos, y mecanismos de seguimiento que incluyan la voz de las víctimas y las organizaciones de mujeres.</w:t>
      </w:r>
    </w:p>
    <w:p w14:paraId="7DB76B15" w14:textId="77777777" w:rsidR="00850AE2" w:rsidRPr="00850AE2" w:rsidRDefault="00850AE2" w:rsidP="00850AE2">
      <w:pPr>
        <w:spacing w:line="480" w:lineRule="auto"/>
        <w:ind w:firstLine="720"/>
        <w:rPr>
          <w:rFonts w:ascii="Times New Roman" w:hAnsi="Times New Roman" w:cs="Times New Roman"/>
          <w:sz w:val="24"/>
          <w:szCs w:val="24"/>
        </w:rPr>
      </w:pPr>
      <w:r w:rsidRPr="00850AE2">
        <w:rPr>
          <w:rFonts w:ascii="Times New Roman" w:hAnsi="Times New Roman" w:cs="Times New Roman"/>
          <w:sz w:val="24"/>
          <w:szCs w:val="24"/>
        </w:rPr>
        <w:t>En definitiva, aunque Barranquilla ha dado pasos importantes en materia de prevención y atención a la violencia de género, el feminicidio sigue siendo un síntoma de una estructura social y cultural que aún debe transformarse. Las políticas públicas deben ir más allá de la sanción penal y apostar por la transformación cultural, la educación en igualdad y la autonomía de las mujeres.</w:t>
      </w:r>
    </w:p>
    <w:p w14:paraId="25F0617D" w14:textId="77777777" w:rsidR="00850AE2" w:rsidRDefault="00850AE2" w:rsidP="00850AE2">
      <w:pPr>
        <w:spacing w:line="480" w:lineRule="auto"/>
        <w:ind w:firstLine="720"/>
        <w:rPr>
          <w:rFonts w:ascii="Times New Roman" w:hAnsi="Times New Roman" w:cs="Times New Roman"/>
          <w:b/>
          <w:bCs/>
          <w:sz w:val="24"/>
          <w:szCs w:val="24"/>
        </w:rPr>
      </w:pPr>
    </w:p>
    <w:p w14:paraId="5985E9AE" w14:textId="77777777" w:rsidR="00850AE2" w:rsidRDefault="00850AE2" w:rsidP="00173545">
      <w:pPr>
        <w:spacing w:line="480" w:lineRule="auto"/>
        <w:ind w:left="720" w:firstLine="720"/>
        <w:jc w:val="both"/>
        <w:rPr>
          <w:rFonts w:ascii="Times New Roman" w:hAnsi="Times New Roman" w:cs="Times New Roman"/>
          <w:sz w:val="24"/>
          <w:szCs w:val="24"/>
        </w:rPr>
      </w:pPr>
    </w:p>
    <w:p w14:paraId="2BBFDA4D" w14:textId="77777777" w:rsidR="00173545" w:rsidRPr="00E93A28" w:rsidRDefault="00173545" w:rsidP="006E0813">
      <w:pPr>
        <w:spacing w:line="480" w:lineRule="auto"/>
        <w:ind w:firstLine="720"/>
        <w:jc w:val="center"/>
        <w:rPr>
          <w:rFonts w:ascii="Times New Roman" w:hAnsi="Times New Roman" w:cs="Times New Roman"/>
          <w:b/>
          <w:bCs/>
          <w:sz w:val="24"/>
          <w:szCs w:val="24"/>
        </w:rPr>
      </w:pPr>
    </w:p>
    <w:p w14:paraId="3CBD4DA2" w14:textId="77777777" w:rsidR="00E93A28" w:rsidRPr="00641E6F" w:rsidRDefault="00E93A28" w:rsidP="00E93A28">
      <w:pPr>
        <w:spacing w:line="480" w:lineRule="auto"/>
        <w:jc w:val="center"/>
        <w:rPr>
          <w:rFonts w:ascii="Times New Roman" w:hAnsi="Times New Roman" w:cs="Times New Roman"/>
          <w:b/>
          <w:bCs/>
          <w:sz w:val="24"/>
          <w:szCs w:val="24"/>
        </w:rPr>
      </w:pPr>
    </w:p>
    <w:p w14:paraId="489909FC" w14:textId="77777777" w:rsidR="00D15FFA" w:rsidRPr="00DD3A2F" w:rsidRDefault="00D15FFA" w:rsidP="00D15FFA">
      <w:pPr>
        <w:spacing w:line="480" w:lineRule="auto"/>
        <w:jc w:val="both"/>
        <w:rPr>
          <w:rFonts w:ascii="Times New Roman" w:hAnsi="Times New Roman" w:cs="Times New Roman"/>
          <w:b/>
          <w:bCs/>
          <w:sz w:val="24"/>
          <w:szCs w:val="24"/>
        </w:rPr>
      </w:pPr>
    </w:p>
    <w:p w14:paraId="31AF72A2" w14:textId="77777777" w:rsidR="0082687D" w:rsidRDefault="0082687D" w:rsidP="0082687D">
      <w:pPr>
        <w:spacing w:line="480" w:lineRule="auto"/>
        <w:ind w:firstLine="720"/>
        <w:jc w:val="center"/>
        <w:rPr>
          <w:rFonts w:ascii="Times New Roman" w:hAnsi="Times New Roman" w:cs="Times New Roman"/>
          <w:b/>
          <w:bCs/>
          <w:sz w:val="24"/>
          <w:szCs w:val="24"/>
        </w:rPr>
      </w:pPr>
    </w:p>
    <w:p w14:paraId="5318B4DD" w14:textId="77777777" w:rsidR="00A07D45" w:rsidRDefault="00A07D45" w:rsidP="0082687D">
      <w:pPr>
        <w:spacing w:line="480" w:lineRule="auto"/>
        <w:ind w:firstLine="720"/>
        <w:jc w:val="center"/>
        <w:rPr>
          <w:rFonts w:ascii="Times New Roman" w:hAnsi="Times New Roman" w:cs="Times New Roman"/>
          <w:b/>
          <w:bCs/>
          <w:sz w:val="24"/>
          <w:szCs w:val="24"/>
        </w:rPr>
      </w:pPr>
    </w:p>
    <w:p w14:paraId="1376B977" w14:textId="77777777" w:rsidR="00A07D45" w:rsidRDefault="00A07D45" w:rsidP="0082687D">
      <w:pPr>
        <w:spacing w:line="480" w:lineRule="auto"/>
        <w:ind w:firstLine="720"/>
        <w:jc w:val="center"/>
        <w:rPr>
          <w:rFonts w:ascii="Times New Roman" w:hAnsi="Times New Roman" w:cs="Times New Roman"/>
          <w:b/>
          <w:bCs/>
          <w:sz w:val="24"/>
          <w:szCs w:val="24"/>
        </w:rPr>
      </w:pPr>
    </w:p>
    <w:p w14:paraId="32B8B963" w14:textId="77777777" w:rsidR="00A07D45" w:rsidRDefault="00A07D45" w:rsidP="0082687D">
      <w:pPr>
        <w:spacing w:line="480" w:lineRule="auto"/>
        <w:ind w:firstLine="720"/>
        <w:jc w:val="center"/>
        <w:rPr>
          <w:rFonts w:ascii="Times New Roman" w:hAnsi="Times New Roman" w:cs="Times New Roman"/>
          <w:b/>
          <w:bCs/>
          <w:sz w:val="24"/>
          <w:szCs w:val="24"/>
        </w:rPr>
      </w:pPr>
    </w:p>
    <w:p w14:paraId="26A7A696" w14:textId="7A568DC3" w:rsidR="00A07D45" w:rsidRPr="00A07D45" w:rsidRDefault="00A07D45" w:rsidP="00A07D45">
      <w:pPr>
        <w:pStyle w:val="Prrafodelista"/>
        <w:spacing w:before="100" w:beforeAutospacing="1" w:after="100" w:afterAutospacing="1" w:line="240" w:lineRule="auto"/>
        <w:ind w:left="1080"/>
        <w:rPr>
          <w:rFonts w:ascii="Times New Roman" w:eastAsia="Times New Roman" w:hAnsi="Times New Roman" w:cs="Times New Roman"/>
          <w:kern w:val="0"/>
          <w:sz w:val="24"/>
          <w:szCs w:val="24"/>
          <w:lang w:eastAsia="es-CO"/>
          <w14:ligatures w14:val="none"/>
        </w:rPr>
      </w:pPr>
    </w:p>
    <w:p w14:paraId="0178AC0B" w14:textId="77777777" w:rsidR="00BE6C2A" w:rsidRDefault="00BE6C2A" w:rsidP="00461045">
      <w:pPr>
        <w:spacing w:line="480" w:lineRule="auto"/>
        <w:rPr>
          <w:rFonts w:ascii="Times New Roman" w:hAnsi="Times New Roman" w:cs="Times New Roman"/>
          <w:b/>
          <w:bCs/>
          <w:sz w:val="24"/>
          <w:szCs w:val="24"/>
        </w:rPr>
      </w:pPr>
    </w:p>
    <w:p w14:paraId="08DE4694" w14:textId="77777777" w:rsidR="00461045" w:rsidRDefault="00461045" w:rsidP="00461045">
      <w:pPr>
        <w:spacing w:line="480" w:lineRule="auto"/>
        <w:rPr>
          <w:rFonts w:ascii="Times New Roman" w:hAnsi="Times New Roman" w:cs="Times New Roman"/>
          <w:b/>
          <w:bCs/>
          <w:sz w:val="24"/>
          <w:szCs w:val="24"/>
        </w:rPr>
      </w:pPr>
    </w:p>
    <w:p w14:paraId="6EEA88BA" w14:textId="77777777" w:rsidR="00461045" w:rsidRPr="00A07D45" w:rsidRDefault="00461045" w:rsidP="00461045">
      <w:pPr>
        <w:spacing w:line="480" w:lineRule="auto"/>
        <w:rPr>
          <w:rFonts w:ascii="Times New Roman" w:hAnsi="Times New Roman" w:cs="Times New Roman"/>
          <w:b/>
          <w:bCs/>
          <w:sz w:val="24"/>
          <w:szCs w:val="24"/>
        </w:rPr>
      </w:pPr>
    </w:p>
    <w:p w14:paraId="756B6F3F" w14:textId="77777777" w:rsidR="00B45B41" w:rsidRDefault="00B45B41" w:rsidP="00B45B41">
      <w:pPr>
        <w:spacing w:line="480" w:lineRule="auto"/>
        <w:rPr>
          <w:rFonts w:ascii="Times New Roman" w:hAnsi="Times New Roman" w:cs="Times New Roman"/>
          <w:b/>
          <w:bCs/>
          <w:sz w:val="24"/>
          <w:szCs w:val="24"/>
        </w:rPr>
      </w:pPr>
    </w:p>
    <w:p w14:paraId="71D5C5F4" w14:textId="77777777" w:rsidR="0003771B" w:rsidRPr="00A07D45" w:rsidRDefault="0003771B" w:rsidP="00B45B41">
      <w:pPr>
        <w:spacing w:line="480" w:lineRule="auto"/>
        <w:rPr>
          <w:rFonts w:ascii="Times New Roman" w:hAnsi="Times New Roman" w:cs="Times New Roman"/>
          <w:sz w:val="24"/>
          <w:szCs w:val="24"/>
        </w:rPr>
      </w:pPr>
    </w:p>
    <w:p w14:paraId="35077B13" w14:textId="77777777" w:rsidR="00850AE2" w:rsidRDefault="00850AE2" w:rsidP="0003771B">
      <w:pPr>
        <w:spacing w:line="480" w:lineRule="auto"/>
        <w:jc w:val="center"/>
        <w:rPr>
          <w:rFonts w:ascii="Times New Roman" w:hAnsi="Times New Roman" w:cs="Times New Roman"/>
          <w:b/>
          <w:bCs/>
          <w:sz w:val="24"/>
          <w:szCs w:val="24"/>
        </w:rPr>
      </w:pPr>
    </w:p>
    <w:p w14:paraId="3053DA94" w14:textId="77777777" w:rsidR="00850AE2" w:rsidRDefault="00850AE2" w:rsidP="0003771B">
      <w:pPr>
        <w:spacing w:line="480" w:lineRule="auto"/>
        <w:jc w:val="center"/>
        <w:rPr>
          <w:rFonts w:ascii="Times New Roman" w:hAnsi="Times New Roman" w:cs="Times New Roman"/>
          <w:b/>
          <w:bCs/>
          <w:sz w:val="24"/>
          <w:szCs w:val="24"/>
        </w:rPr>
      </w:pPr>
    </w:p>
    <w:p w14:paraId="3597C178" w14:textId="7B0956CC" w:rsidR="00B45B41" w:rsidRPr="002F24E3" w:rsidRDefault="00B45B41" w:rsidP="0003771B">
      <w:pPr>
        <w:spacing w:line="480" w:lineRule="auto"/>
        <w:jc w:val="center"/>
        <w:rPr>
          <w:rFonts w:ascii="Times New Roman" w:hAnsi="Times New Roman" w:cs="Times New Roman"/>
          <w:b/>
          <w:bCs/>
          <w:sz w:val="24"/>
          <w:szCs w:val="24"/>
        </w:rPr>
      </w:pPr>
      <w:r w:rsidRPr="002F24E3">
        <w:rPr>
          <w:rFonts w:ascii="Times New Roman" w:hAnsi="Times New Roman" w:cs="Times New Roman"/>
          <w:b/>
          <w:bCs/>
          <w:sz w:val="24"/>
          <w:szCs w:val="24"/>
        </w:rPr>
        <w:t>Referencias Bibliográficas</w:t>
      </w:r>
    </w:p>
    <w:p w14:paraId="32DC10F4" w14:textId="77777777" w:rsidR="00B45B41" w:rsidRPr="00B45B41" w:rsidRDefault="00B45B41" w:rsidP="00B45B41">
      <w:pPr>
        <w:spacing w:line="480" w:lineRule="auto"/>
        <w:rPr>
          <w:rFonts w:ascii="Times New Roman" w:hAnsi="Times New Roman" w:cs="Times New Roman"/>
          <w:sz w:val="24"/>
          <w:szCs w:val="24"/>
        </w:rPr>
      </w:pPr>
      <w:r w:rsidRPr="00B45B41">
        <w:rPr>
          <w:rFonts w:ascii="Times New Roman" w:hAnsi="Times New Roman" w:cs="Times New Roman"/>
          <w:sz w:val="24"/>
          <w:szCs w:val="24"/>
        </w:rPr>
        <w:t>- Instituto Nacional de Medicina Legal. (2024). Análisis estadístico de violencia de género en Colombia.</w:t>
      </w:r>
    </w:p>
    <w:p w14:paraId="3F833490" w14:textId="77777777" w:rsidR="00B45B41" w:rsidRPr="00B45B41" w:rsidRDefault="00B45B41" w:rsidP="00B45B41">
      <w:pPr>
        <w:spacing w:line="480" w:lineRule="auto"/>
        <w:rPr>
          <w:rFonts w:ascii="Times New Roman" w:hAnsi="Times New Roman" w:cs="Times New Roman"/>
          <w:sz w:val="24"/>
          <w:szCs w:val="24"/>
        </w:rPr>
      </w:pPr>
      <w:r w:rsidRPr="00B45B41">
        <w:rPr>
          <w:rFonts w:ascii="Times New Roman" w:hAnsi="Times New Roman" w:cs="Times New Roman"/>
          <w:sz w:val="24"/>
          <w:szCs w:val="24"/>
        </w:rPr>
        <w:t>- Ley 1761 de 2015 (Ley Rosa Elvira Cely), Congreso de la República de Colombia.</w:t>
      </w:r>
    </w:p>
    <w:p w14:paraId="79278283" w14:textId="6C34434C" w:rsidR="006D2B51" w:rsidRDefault="00B45B41" w:rsidP="002F24E3">
      <w:pPr>
        <w:spacing w:line="480" w:lineRule="auto"/>
        <w:rPr>
          <w:rFonts w:ascii="Times New Roman" w:hAnsi="Times New Roman" w:cs="Times New Roman"/>
          <w:sz w:val="24"/>
          <w:szCs w:val="24"/>
        </w:rPr>
      </w:pPr>
      <w:r w:rsidRPr="00B45B41">
        <w:rPr>
          <w:rFonts w:ascii="Times New Roman" w:hAnsi="Times New Roman" w:cs="Times New Roman"/>
          <w:sz w:val="24"/>
          <w:szCs w:val="24"/>
        </w:rPr>
        <w:t xml:space="preserve">- </w:t>
      </w:r>
      <w:r w:rsidR="002F24E3" w:rsidRPr="002F24E3">
        <w:rPr>
          <w:rFonts w:ascii="Times New Roman" w:hAnsi="Times New Roman" w:cs="Times New Roman"/>
          <w:sz w:val="24"/>
          <w:szCs w:val="24"/>
        </w:rPr>
        <w:t>Rincónn, S. V. D., &amp; Serje, K. M. T. (2021). El feminicidio–un crimen de odio en contra de la mujer y la violencia de género en la ciudad de Barranquilla. </w:t>
      </w:r>
      <w:r w:rsidR="002F24E3" w:rsidRPr="002F24E3">
        <w:rPr>
          <w:rFonts w:ascii="Times New Roman" w:hAnsi="Times New Roman" w:cs="Times New Roman"/>
          <w:i/>
          <w:iCs/>
          <w:sz w:val="24"/>
          <w:szCs w:val="24"/>
        </w:rPr>
        <w:t>Tejidos Sociales</w:t>
      </w:r>
      <w:r w:rsidR="002F24E3" w:rsidRPr="002F24E3">
        <w:rPr>
          <w:rFonts w:ascii="Times New Roman" w:hAnsi="Times New Roman" w:cs="Times New Roman"/>
          <w:sz w:val="24"/>
          <w:szCs w:val="24"/>
        </w:rPr>
        <w:t>, </w:t>
      </w:r>
      <w:r w:rsidR="002F24E3" w:rsidRPr="002F24E3">
        <w:rPr>
          <w:rFonts w:ascii="Times New Roman" w:hAnsi="Times New Roman" w:cs="Times New Roman"/>
          <w:i/>
          <w:iCs/>
          <w:sz w:val="24"/>
          <w:szCs w:val="24"/>
        </w:rPr>
        <w:t>3</w:t>
      </w:r>
      <w:r w:rsidR="002F24E3" w:rsidRPr="002F24E3">
        <w:rPr>
          <w:rFonts w:ascii="Times New Roman" w:hAnsi="Times New Roman" w:cs="Times New Roman"/>
          <w:sz w:val="24"/>
          <w:szCs w:val="24"/>
        </w:rPr>
        <w:t>(1), 1-14.</w:t>
      </w:r>
    </w:p>
    <w:p w14:paraId="33F08B16" w14:textId="08467028" w:rsidR="002F24E3" w:rsidRDefault="002F24E3" w:rsidP="002F24E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2F24E3">
        <w:rPr>
          <w:rFonts w:ascii="Times New Roman" w:hAnsi="Times New Roman" w:cs="Times New Roman"/>
          <w:sz w:val="24"/>
          <w:szCs w:val="24"/>
        </w:rPr>
        <w:t>Rodríguez Blanco, J. (2022). Feminicidio en tiempos de Covid-19 en la ciudad de Barranquilla.</w:t>
      </w:r>
    </w:p>
    <w:p w14:paraId="265BCFCF" w14:textId="5DAC6FC9" w:rsidR="002F24E3" w:rsidRDefault="002F24E3" w:rsidP="002F24E3">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2F24E3">
        <w:rPr>
          <w:rFonts w:ascii="Times New Roman" w:hAnsi="Times New Roman" w:cs="Times New Roman"/>
          <w:sz w:val="24"/>
          <w:szCs w:val="24"/>
        </w:rPr>
        <w:t>Castañeda Orozco, D. P., Fernández Polo, E. M., &amp; Pérez Martelo, A. A. (2022). Feminicidio íntimo en el Distrito de Barranquilla (2018-2021).</w:t>
      </w:r>
    </w:p>
    <w:p w14:paraId="2DF89CD8" w14:textId="4F3B0557" w:rsidR="0003771B" w:rsidRDefault="0003771B" w:rsidP="0003771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03771B">
        <w:rPr>
          <w:rFonts w:ascii="Times New Roman" w:hAnsi="Times New Roman" w:cs="Times New Roman"/>
          <w:sz w:val="24"/>
          <w:szCs w:val="24"/>
        </w:rPr>
        <w:t>Lagarde, M. (2008). El feminicidio: Una forma extrema de violencia contra las mujeres. México: UNAM.</w:t>
      </w:r>
    </w:p>
    <w:p w14:paraId="72348D80" w14:textId="7EEEBA60" w:rsidR="0003771B" w:rsidRDefault="0003771B" w:rsidP="0003771B">
      <w:pPr>
        <w:spacing w:line="480" w:lineRule="auto"/>
        <w:rPr>
          <w:rFonts w:ascii="Times New Roman" w:hAnsi="Times New Roman" w:cs="Times New Roman"/>
          <w:sz w:val="24"/>
          <w:szCs w:val="24"/>
        </w:rPr>
      </w:pPr>
      <w:r>
        <w:rPr>
          <w:rFonts w:ascii="Times New Roman" w:hAnsi="Times New Roman" w:cs="Times New Roman"/>
          <w:sz w:val="24"/>
          <w:szCs w:val="24"/>
        </w:rPr>
        <w:t>- C</w:t>
      </w:r>
      <w:r w:rsidRPr="0003771B">
        <w:rPr>
          <w:rFonts w:ascii="Times New Roman" w:hAnsi="Times New Roman" w:cs="Times New Roman"/>
          <w:sz w:val="24"/>
          <w:szCs w:val="24"/>
        </w:rPr>
        <w:t>onvención Interamericana para Prevenir, Sancionar y Erradicar la Violencia contra la Mujer (Convención de Belém do Pará). (1994). Ratificada por Colombia en 1996.</w:t>
      </w:r>
    </w:p>
    <w:p w14:paraId="336B5288" w14:textId="63C8BA80" w:rsidR="0003771B" w:rsidRDefault="0003771B" w:rsidP="0003771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03771B">
        <w:rPr>
          <w:rFonts w:ascii="Times New Roman" w:hAnsi="Times New Roman" w:cs="Times New Roman"/>
          <w:sz w:val="24"/>
          <w:szCs w:val="24"/>
        </w:rPr>
        <w:t>Corte Constitucional de Colombia. (2016). Sentencia C-539 de 2016. Declaración de exequibilidad de la Ley 1761 de 2015.</w:t>
      </w:r>
    </w:p>
    <w:p w14:paraId="6814C49F" w14:textId="6FB0A131" w:rsidR="0003771B" w:rsidRDefault="0003771B" w:rsidP="0003771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03771B">
        <w:rPr>
          <w:rFonts w:ascii="Times New Roman" w:hAnsi="Times New Roman" w:cs="Times New Roman"/>
          <w:sz w:val="24"/>
          <w:szCs w:val="24"/>
        </w:rPr>
        <w:t>Corte Constitucional de Colombia. (2020). Sentencia T-344 de 2020. Obligación de las autoridades judiciales de aplicar un enfoque de género en casos de violencia contra las mujeres.</w:t>
      </w:r>
    </w:p>
    <w:p w14:paraId="4C62593C" w14:textId="424EB48E" w:rsidR="0003771B" w:rsidRDefault="0003771B" w:rsidP="0003771B">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03771B">
        <w:rPr>
          <w:rFonts w:ascii="Times New Roman" w:hAnsi="Times New Roman" w:cs="Times New Roman"/>
          <w:sz w:val="24"/>
          <w:szCs w:val="24"/>
        </w:rPr>
        <w:t>Corte Suprema de Justicia de Colombia. (2022). Sentencia SP3993-2022. Precisión del concepto de feminicidio y sus elementos.</w:t>
      </w:r>
    </w:p>
    <w:p w14:paraId="14F7E575" w14:textId="37ED5C04" w:rsidR="007A1F52" w:rsidRDefault="007A1F52" w:rsidP="007A1F52">
      <w:pPr>
        <w:spacing w:line="480" w:lineRule="auto"/>
        <w:rPr>
          <w:rFonts w:ascii="Times New Roman" w:hAnsi="Times New Roman" w:cs="Times New Roman"/>
          <w:sz w:val="24"/>
          <w:szCs w:val="24"/>
        </w:rPr>
      </w:pPr>
      <w:r>
        <w:rPr>
          <w:rFonts w:ascii="Times New Roman" w:hAnsi="Times New Roman" w:cs="Times New Roman"/>
          <w:sz w:val="24"/>
          <w:szCs w:val="24"/>
        </w:rPr>
        <w:t>-</w:t>
      </w:r>
      <w:r w:rsidRPr="007A1F52">
        <w:rPr>
          <w:rFonts w:ascii="Times New Roman" w:hAnsi="Times New Roman" w:cs="Times New Roman"/>
          <w:sz w:val="24"/>
          <w:szCs w:val="24"/>
        </w:rPr>
        <w:t xml:space="preserve">Fundación Caribe Afirmativo. (2022). </w:t>
      </w:r>
      <w:r w:rsidRPr="007A1F52">
        <w:rPr>
          <w:rFonts w:ascii="Times New Roman" w:hAnsi="Times New Roman" w:cs="Times New Roman"/>
          <w:i/>
          <w:iCs/>
          <w:sz w:val="24"/>
          <w:szCs w:val="24"/>
        </w:rPr>
        <w:t>Feminicidios en la región Caribe: Análisis, cifras y recomendaciones de política pública</w:t>
      </w:r>
      <w:r w:rsidRPr="007A1F52">
        <w:rPr>
          <w:rFonts w:ascii="Times New Roman" w:hAnsi="Times New Roman" w:cs="Times New Roman"/>
          <w:sz w:val="24"/>
          <w:szCs w:val="24"/>
        </w:rPr>
        <w:t>.</w:t>
      </w:r>
    </w:p>
    <w:p w14:paraId="49788C62" w14:textId="106141EC" w:rsidR="007A1F52" w:rsidRDefault="007A1F52" w:rsidP="005120F1">
      <w:pPr>
        <w:spacing w:line="480" w:lineRule="auto"/>
        <w:rPr>
          <w:rFonts w:ascii="Times New Roman" w:hAnsi="Times New Roman" w:cs="Times New Roman"/>
          <w:sz w:val="24"/>
          <w:szCs w:val="24"/>
        </w:rPr>
      </w:pPr>
      <w:r>
        <w:rPr>
          <w:rFonts w:ascii="Times New Roman" w:hAnsi="Times New Roman" w:cs="Times New Roman"/>
          <w:sz w:val="24"/>
          <w:szCs w:val="24"/>
        </w:rPr>
        <w:t>-</w:t>
      </w:r>
      <w:r w:rsidR="005120F1" w:rsidRPr="005120F1">
        <w:rPr>
          <w:rFonts w:ascii="Times New Roman" w:hAnsi="Times New Roman" w:cs="Times New Roman"/>
          <w:sz w:val="24"/>
          <w:szCs w:val="24"/>
        </w:rPr>
        <w:t>Orellano Rada, V., Cera Guerrero, Z., Villalba Rodríguez, L. E., Insignares Martínez, K., &amp; Jiménez Morón, F. (2024). El amor romántico como respuesta al feminicidio en el municipio de Barranquilla.</w:t>
      </w:r>
    </w:p>
    <w:p w14:paraId="548AD020" w14:textId="64AE1A18" w:rsidR="005120F1" w:rsidRDefault="005120F1" w:rsidP="005120F1">
      <w:pPr>
        <w:spacing w:line="480" w:lineRule="auto"/>
        <w:rPr>
          <w:rFonts w:ascii="Times New Roman" w:hAnsi="Times New Roman" w:cs="Times New Roman"/>
          <w:sz w:val="24"/>
          <w:szCs w:val="24"/>
        </w:rPr>
      </w:pPr>
      <w:r>
        <w:rPr>
          <w:rFonts w:ascii="Times New Roman" w:hAnsi="Times New Roman" w:cs="Times New Roman"/>
          <w:sz w:val="24"/>
          <w:szCs w:val="24"/>
        </w:rPr>
        <w:t>-</w:t>
      </w:r>
      <w:r w:rsidRPr="005120F1">
        <w:rPr>
          <w:rFonts w:ascii="Times New Roman" w:hAnsi="Times New Roman" w:cs="Times New Roman"/>
          <w:sz w:val="24"/>
          <w:szCs w:val="24"/>
        </w:rPr>
        <w:t>Bula Trujillo, M. V. (2021). Análisis de factores de riesgo en un caso de violencia intrafamiliar ocurrido en Barranquilla/Atlántico en agosto de 2020, visto desde la directiva 001 de marzo de 2021 y de la guía de buenas prácticas para la evaluación psicológica forense del riesgo de violencia contra la mujer en las relaciones de pareja (vcmp) del Colegio Oficial de Psicólogos de Madrid 2012.</w:t>
      </w:r>
    </w:p>
    <w:p w14:paraId="393F65FE" w14:textId="238BEF34" w:rsidR="005120F1" w:rsidRDefault="005120F1" w:rsidP="005120F1">
      <w:pPr>
        <w:spacing w:line="480" w:lineRule="auto"/>
        <w:rPr>
          <w:rFonts w:ascii="Times New Roman" w:hAnsi="Times New Roman" w:cs="Times New Roman"/>
          <w:sz w:val="24"/>
          <w:szCs w:val="24"/>
        </w:rPr>
      </w:pPr>
      <w:r>
        <w:rPr>
          <w:rFonts w:ascii="Times New Roman" w:hAnsi="Times New Roman" w:cs="Times New Roman"/>
          <w:sz w:val="24"/>
          <w:szCs w:val="24"/>
        </w:rPr>
        <w:t>-</w:t>
      </w:r>
      <w:r w:rsidRPr="005120F1">
        <w:rPr>
          <w:rFonts w:ascii="Times New Roman" w:hAnsi="Times New Roman" w:cs="Times New Roman"/>
          <w:sz w:val="24"/>
          <w:szCs w:val="24"/>
        </w:rPr>
        <w:t>Radio, B. (2020). Este año se dispararon los feminicidios”: oficina de la Mujer de Barranquilla. </w:t>
      </w:r>
      <w:r w:rsidRPr="005120F1">
        <w:rPr>
          <w:rFonts w:ascii="Times New Roman" w:hAnsi="Times New Roman" w:cs="Times New Roman"/>
          <w:i/>
          <w:iCs/>
          <w:sz w:val="24"/>
          <w:szCs w:val="24"/>
        </w:rPr>
        <w:t>Obtenido de Blu Radio: https://www. bluradio. com/judicial/este-ano-se-dispararon-los-feminicidios-oficina-de-la-mujer-de-barranquilla-244318-ie435</w:t>
      </w:r>
      <w:r w:rsidRPr="005120F1">
        <w:rPr>
          <w:rFonts w:ascii="Times New Roman" w:hAnsi="Times New Roman" w:cs="Times New Roman"/>
          <w:sz w:val="24"/>
          <w:szCs w:val="24"/>
        </w:rPr>
        <w:t>.</w:t>
      </w:r>
    </w:p>
    <w:p w14:paraId="6189AA16" w14:textId="5E5546CF" w:rsidR="005120F1" w:rsidRDefault="005120F1" w:rsidP="005120F1">
      <w:pPr>
        <w:spacing w:line="480" w:lineRule="auto"/>
        <w:rPr>
          <w:rFonts w:ascii="Times New Roman" w:hAnsi="Times New Roman" w:cs="Times New Roman"/>
          <w:sz w:val="24"/>
          <w:szCs w:val="24"/>
        </w:rPr>
      </w:pPr>
      <w:r>
        <w:rPr>
          <w:rFonts w:ascii="Times New Roman" w:hAnsi="Times New Roman" w:cs="Times New Roman"/>
          <w:sz w:val="24"/>
          <w:szCs w:val="24"/>
        </w:rPr>
        <w:t>-</w:t>
      </w:r>
      <w:r w:rsidRPr="005120F1">
        <w:rPr>
          <w:rFonts w:ascii="Times New Roman" w:hAnsi="Times New Roman" w:cs="Times New Roman"/>
          <w:sz w:val="24"/>
          <w:szCs w:val="24"/>
        </w:rPr>
        <w:t>Moreno, J. J. N., Lujan, T. F., Olarte, J., &amp; Rincón, S. V. D. (2023). Violencia de género contra las mujeres durante la pandemia Covid-19 en la ciudad de Barranquilla en el periodo 2020-2021. </w:t>
      </w:r>
      <w:r w:rsidRPr="005120F1">
        <w:rPr>
          <w:rFonts w:ascii="Times New Roman" w:hAnsi="Times New Roman" w:cs="Times New Roman"/>
          <w:i/>
          <w:iCs/>
          <w:sz w:val="24"/>
          <w:szCs w:val="24"/>
        </w:rPr>
        <w:t>Tejidos Sociales</w:t>
      </w:r>
      <w:r w:rsidRPr="005120F1">
        <w:rPr>
          <w:rFonts w:ascii="Times New Roman" w:hAnsi="Times New Roman" w:cs="Times New Roman"/>
          <w:sz w:val="24"/>
          <w:szCs w:val="24"/>
        </w:rPr>
        <w:t>, </w:t>
      </w:r>
      <w:r w:rsidRPr="005120F1">
        <w:rPr>
          <w:rFonts w:ascii="Times New Roman" w:hAnsi="Times New Roman" w:cs="Times New Roman"/>
          <w:i/>
          <w:iCs/>
          <w:sz w:val="24"/>
          <w:szCs w:val="24"/>
        </w:rPr>
        <w:t>5</w:t>
      </w:r>
      <w:r w:rsidRPr="005120F1">
        <w:rPr>
          <w:rFonts w:ascii="Times New Roman" w:hAnsi="Times New Roman" w:cs="Times New Roman"/>
          <w:sz w:val="24"/>
          <w:szCs w:val="24"/>
        </w:rPr>
        <w:t>(1), 1-13.</w:t>
      </w:r>
    </w:p>
    <w:p w14:paraId="6F18F313" w14:textId="7F9D6C02" w:rsidR="005120F1" w:rsidRDefault="005120F1" w:rsidP="005120F1">
      <w:pPr>
        <w:spacing w:line="480" w:lineRule="auto"/>
        <w:rPr>
          <w:rFonts w:ascii="Times New Roman" w:hAnsi="Times New Roman" w:cs="Times New Roman"/>
          <w:sz w:val="24"/>
          <w:szCs w:val="24"/>
        </w:rPr>
      </w:pPr>
      <w:r w:rsidRPr="005120F1">
        <w:rPr>
          <w:rFonts w:ascii="Times New Roman" w:hAnsi="Times New Roman" w:cs="Times New Roman"/>
          <w:sz w:val="24"/>
          <w:szCs w:val="24"/>
          <w:lang w:val="pt-BR"/>
        </w:rPr>
        <w:t xml:space="preserve">-Benavides Mendoza, M., Ortiz Rosaura, R. L., Marriaga Pérez, M., &amp; Rangel De Aguas, Y. G. (2023). </w:t>
      </w:r>
      <w:r w:rsidRPr="005120F1">
        <w:rPr>
          <w:rFonts w:ascii="Times New Roman" w:hAnsi="Times New Roman" w:cs="Times New Roman"/>
          <w:sz w:val="24"/>
          <w:szCs w:val="24"/>
        </w:rPr>
        <w:t>Factores socioeconómicos y culturales que inciden en la violencia de genero hacia la mujer en el barrio El Bosque del Distrito de Barranquilla.</w:t>
      </w:r>
    </w:p>
    <w:p w14:paraId="009AC27F" w14:textId="3F24D92D" w:rsidR="00CA22C1" w:rsidRPr="00B45B41" w:rsidRDefault="005120F1" w:rsidP="005120F1">
      <w:pPr>
        <w:spacing w:line="480" w:lineRule="auto"/>
        <w:rPr>
          <w:rFonts w:ascii="Times New Roman" w:hAnsi="Times New Roman" w:cs="Times New Roman"/>
          <w:sz w:val="24"/>
          <w:szCs w:val="24"/>
        </w:rPr>
      </w:pPr>
      <w:r>
        <w:rPr>
          <w:rFonts w:ascii="Times New Roman" w:hAnsi="Times New Roman" w:cs="Times New Roman"/>
          <w:sz w:val="24"/>
          <w:szCs w:val="24"/>
        </w:rPr>
        <w:t>-</w:t>
      </w:r>
      <w:r w:rsidRPr="005120F1">
        <w:rPr>
          <w:rFonts w:ascii="Times New Roman" w:hAnsi="Times New Roman" w:cs="Times New Roman"/>
          <w:sz w:val="24"/>
          <w:szCs w:val="24"/>
        </w:rPr>
        <w:t>Conrado Ariza, L., Maldonado Rodríguez, D., &amp; Reyes Márquez, G. (2021). Políticas públicas sobre violencia de género en Barranquilla en el periodo 2018-2020.</w:t>
      </w:r>
    </w:p>
    <w:sectPr w:rsidR="00CA22C1" w:rsidRPr="00B45B41" w:rsidSect="00730C3D">
      <w:headerReference w:type="default" r:id="rId8"/>
      <w:footerReference w:type="default" r:id="rId9"/>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80560" w14:textId="77777777" w:rsidR="009D7053" w:rsidRDefault="009D7053" w:rsidP="00C22685">
      <w:pPr>
        <w:spacing w:after="0" w:line="240" w:lineRule="auto"/>
      </w:pPr>
      <w:r>
        <w:separator/>
      </w:r>
    </w:p>
  </w:endnote>
  <w:endnote w:type="continuationSeparator" w:id="0">
    <w:p w14:paraId="52B1ECC0" w14:textId="77777777" w:rsidR="009D7053" w:rsidRDefault="009D7053" w:rsidP="00C226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C4C1D" w14:textId="77777777" w:rsidR="006D2B51" w:rsidRDefault="006D2B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B8E108" w14:textId="77777777" w:rsidR="009D7053" w:rsidRDefault="009D7053" w:rsidP="00C22685">
      <w:pPr>
        <w:spacing w:after="0" w:line="240" w:lineRule="auto"/>
      </w:pPr>
      <w:r>
        <w:separator/>
      </w:r>
    </w:p>
  </w:footnote>
  <w:footnote w:type="continuationSeparator" w:id="0">
    <w:p w14:paraId="645F52F4" w14:textId="77777777" w:rsidR="009D7053" w:rsidRDefault="009D7053" w:rsidP="00C226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3076677"/>
      <w:docPartObj>
        <w:docPartGallery w:val="Page Numbers (Top of Page)"/>
        <w:docPartUnique/>
      </w:docPartObj>
    </w:sdtPr>
    <w:sdtContent>
      <w:p w14:paraId="5E46E70A" w14:textId="46742074" w:rsidR="002774DF" w:rsidRDefault="002774DF">
        <w:pPr>
          <w:pStyle w:val="Encabezado"/>
          <w:jc w:val="right"/>
        </w:pPr>
        <w:r>
          <w:fldChar w:fldCharType="begin"/>
        </w:r>
        <w:r>
          <w:instrText>PAGE   \* MERGEFORMAT</w:instrText>
        </w:r>
        <w:r>
          <w:fldChar w:fldCharType="separate"/>
        </w:r>
        <w:r>
          <w:rPr>
            <w:lang w:val="es-ES"/>
          </w:rPr>
          <w:t>2</w:t>
        </w:r>
        <w:r>
          <w:fldChar w:fldCharType="end"/>
        </w:r>
      </w:p>
    </w:sdtContent>
  </w:sdt>
  <w:p w14:paraId="60094358" w14:textId="5487F7B5" w:rsidR="00B03E6B" w:rsidRPr="00B03E6B" w:rsidRDefault="00B03E6B" w:rsidP="00730C3D">
    <w:pPr>
      <w:pStyle w:val="Encabezado"/>
      <w:jc w:val="right"/>
      <w:rPr>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2518EA"/>
    <w:multiLevelType w:val="multilevel"/>
    <w:tmpl w:val="EC10B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993211"/>
    <w:multiLevelType w:val="multilevel"/>
    <w:tmpl w:val="EA7C2694"/>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15:restartNumberingAfterBreak="0">
    <w:nsid w:val="1B50782F"/>
    <w:multiLevelType w:val="hybridMultilevel"/>
    <w:tmpl w:val="E944780A"/>
    <w:lvl w:ilvl="0" w:tplc="9134054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B8A44D0"/>
    <w:multiLevelType w:val="multilevel"/>
    <w:tmpl w:val="13C2370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228F0178"/>
    <w:multiLevelType w:val="hybridMultilevel"/>
    <w:tmpl w:val="D402ED5C"/>
    <w:lvl w:ilvl="0" w:tplc="2A345964">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24C6736D"/>
    <w:multiLevelType w:val="multilevel"/>
    <w:tmpl w:val="C38699F0"/>
    <w:lvl w:ilvl="0">
      <w:start w:val="1"/>
      <w:numFmt w:val="decimal"/>
      <w:lvlText w:val="%1."/>
      <w:lvlJc w:val="left"/>
      <w:pPr>
        <w:ind w:left="108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6" w15:restartNumberingAfterBreak="0">
    <w:nsid w:val="25BE2533"/>
    <w:multiLevelType w:val="hybridMultilevel"/>
    <w:tmpl w:val="DA8A8C1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32343BAD"/>
    <w:multiLevelType w:val="multilevel"/>
    <w:tmpl w:val="38FEE6B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3564093D"/>
    <w:multiLevelType w:val="multilevel"/>
    <w:tmpl w:val="16B6AD6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40F77F44"/>
    <w:multiLevelType w:val="hybridMultilevel"/>
    <w:tmpl w:val="56626BD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610E148D"/>
    <w:multiLevelType w:val="multilevel"/>
    <w:tmpl w:val="413270B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71202F73"/>
    <w:multiLevelType w:val="hybridMultilevel"/>
    <w:tmpl w:val="896C5A98"/>
    <w:lvl w:ilvl="0" w:tplc="19F05D94">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741E79A9"/>
    <w:multiLevelType w:val="multilevel"/>
    <w:tmpl w:val="43F6CA64"/>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40249316">
    <w:abstractNumId w:val="11"/>
  </w:num>
  <w:num w:numId="2" w16cid:durableId="685132352">
    <w:abstractNumId w:val="9"/>
  </w:num>
  <w:num w:numId="3" w16cid:durableId="284654935">
    <w:abstractNumId w:val="7"/>
  </w:num>
  <w:num w:numId="4" w16cid:durableId="1666977957">
    <w:abstractNumId w:val="2"/>
  </w:num>
  <w:num w:numId="5" w16cid:durableId="96145505">
    <w:abstractNumId w:val="4"/>
  </w:num>
  <w:num w:numId="6" w16cid:durableId="372383543">
    <w:abstractNumId w:val="6"/>
  </w:num>
  <w:num w:numId="7" w16cid:durableId="1622415580">
    <w:abstractNumId w:val="12"/>
  </w:num>
  <w:num w:numId="8" w16cid:durableId="9840326">
    <w:abstractNumId w:val="8"/>
  </w:num>
  <w:num w:numId="9" w16cid:durableId="153184018">
    <w:abstractNumId w:val="0"/>
  </w:num>
  <w:num w:numId="10" w16cid:durableId="254677761">
    <w:abstractNumId w:val="5"/>
  </w:num>
  <w:num w:numId="11" w16cid:durableId="1704749079">
    <w:abstractNumId w:val="3"/>
  </w:num>
  <w:num w:numId="12" w16cid:durableId="1364667441">
    <w:abstractNumId w:val="10"/>
  </w:num>
  <w:num w:numId="13" w16cid:durableId="7717819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4D8"/>
    <w:rsid w:val="0003771B"/>
    <w:rsid w:val="00073E8F"/>
    <w:rsid w:val="000D372C"/>
    <w:rsid w:val="000D38EA"/>
    <w:rsid w:val="000F580A"/>
    <w:rsid w:val="00151341"/>
    <w:rsid w:val="00173545"/>
    <w:rsid w:val="001B0068"/>
    <w:rsid w:val="001F58EA"/>
    <w:rsid w:val="00205ED9"/>
    <w:rsid w:val="00232034"/>
    <w:rsid w:val="00234F65"/>
    <w:rsid w:val="0026042C"/>
    <w:rsid w:val="002774DF"/>
    <w:rsid w:val="002F24E3"/>
    <w:rsid w:val="002F32CB"/>
    <w:rsid w:val="00302898"/>
    <w:rsid w:val="00316012"/>
    <w:rsid w:val="003350D1"/>
    <w:rsid w:val="003B4684"/>
    <w:rsid w:val="004168EE"/>
    <w:rsid w:val="00417FF1"/>
    <w:rsid w:val="00420C37"/>
    <w:rsid w:val="00461045"/>
    <w:rsid w:val="004C41E2"/>
    <w:rsid w:val="004D7289"/>
    <w:rsid w:val="005120F1"/>
    <w:rsid w:val="0054322A"/>
    <w:rsid w:val="00557820"/>
    <w:rsid w:val="005702CC"/>
    <w:rsid w:val="005A5365"/>
    <w:rsid w:val="0061714D"/>
    <w:rsid w:val="00631953"/>
    <w:rsid w:val="00641E6F"/>
    <w:rsid w:val="006955C3"/>
    <w:rsid w:val="006D2B51"/>
    <w:rsid w:val="006E0813"/>
    <w:rsid w:val="00730C3D"/>
    <w:rsid w:val="007543E1"/>
    <w:rsid w:val="007632FC"/>
    <w:rsid w:val="007659A2"/>
    <w:rsid w:val="007659C6"/>
    <w:rsid w:val="00773E10"/>
    <w:rsid w:val="00785073"/>
    <w:rsid w:val="00794A05"/>
    <w:rsid w:val="007A1F52"/>
    <w:rsid w:val="007D787A"/>
    <w:rsid w:val="00800A8C"/>
    <w:rsid w:val="0081679B"/>
    <w:rsid w:val="008232C7"/>
    <w:rsid w:val="0082687D"/>
    <w:rsid w:val="00850AE2"/>
    <w:rsid w:val="0086280A"/>
    <w:rsid w:val="008F7217"/>
    <w:rsid w:val="00904715"/>
    <w:rsid w:val="00932CFC"/>
    <w:rsid w:val="00941EAB"/>
    <w:rsid w:val="00970230"/>
    <w:rsid w:val="009B58F6"/>
    <w:rsid w:val="009C48C0"/>
    <w:rsid w:val="009D7053"/>
    <w:rsid w:val="00A07D45"/>
    <w:rsid w:val="00A22900"/>
    <w:rsid w:val="00A47EDF"/>
    <w:rsid w:val="00A65FEF"/>
    <w:rsid w:val="00A82BAB"/>
    <w:rsid w:val="00A94094"/>
    <w:rsid w:val="00A95783"/>
    <w:rsid w:val="00AB3AD9"/>
    <w:rsid w:val="00AC6DB1"/>
    <w:rsid w:val="00B03E6B"/>
    <w:rsid w:val="00B339EE"/>
    <w:rsid w:val="00B45B41"/>
    <w:rsid w:val="00B614B8"/>
    <w:rsid w:val="00B76059"/>
    <w:rsid w:val="00B82D99"/>
    <w:rsid w:val="00B9730D"/>
    <w:rsid w:val="00BA07E7"/>
    <w:rsid w:val="00BE6C2A"/>
    <w:rsid w:val="00BF5ED5"/>
    <w:rsid w:val="00C21CFB"/>
    <w:rsid w:val="00C22685"/>
    <w:rsid w:val="00C75D86"/>
    <w:rsid w:val="00CA1175"/>
    <w:rsid w:val="00CA22C1"/>
    <w:rsid w:val="00CC14D8"/>
    <w:rsid w:val="00D12096"/>
    <w:rsid w:val="00D15FFA"/>
    <w:rsid w:val="00D40471"/>
    <w:rsid w:val="00D92E2B"/>
    <w:rsid w:val="00DC074A"/>
    <w:rsid w:val="00DD3A2F"/>
    <w:rsid w:val="00E00E19"/>
    <w:rsid w:val="00E6596E"/>
    <w:rsid w:val="00E93A28"/>
    <w:rsid w:val="00ED15CE"/>
    <w:rsid w:val="00EE575E"/>
    <w:rsid w:val="00EF0423"/>
    <w:rsid w:val="00F24E19"/>
    <w:rsid w:val="00F54435"/>
    <w:rsid w:val="00F7150D"/>
    <w:rsid w:val="00F97C18"/>
    <w:rsid w:val="00FB63D0"/>
  </w:rsids>
  <m:mathPr>
    <m:mathFont m:val="Cambria Math"/>
    <m:brkBin m:val="before"/>
    <m:brkBinSub m:val="--"/>
    <m:smallFrac m:val="0"/>
    <m:dispDef/>
    <m:lMargin m:val="0"/>
    <m:rMargin m:val="0"/>
    <m:defJc m:val="centerGroup"/>
    <m:wrapIndent m:val="1440"/>
    <m:intLim m:val="subSup"/>
    <m:naryLim m:val="undOvr"/>
  </m:mathPr>
  <w:themeFontLang w:val="es-CO"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E11072"/>
  <w15:chartTrackingRefBased/>
  <w15:docId w15:val="{14D229F5-11AA-43F1-A160-B6B309050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730D"/>
  </w:style>
  <w:style w:type="paragraph" w:styleId="Ttulo2">
    <w:name w:val="heading 2"/>
    <w:basedOn w:val="Normal"/>
    <w:next w:val="Normal"/>
    <w:link w:val="Ttulo2Car"/>
    <w:uiPriority w:val="9"/>
    <w:semiHidden/>
    <w:unhideWhenUsed/>
    <w:qFormat/>
    <w:rsid w:val="00850AE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FB63D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link w:val="Ttulo4Car"/>
    <w:uiPriority w:val="9"/>
    <w:qFormat/>
    <w:rsid w:val="00A07D45"/>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es-CO"/>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2268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22685"/>
  </w:style>
  <w:style w:type="paragraph" w:styleId="Piedepgina">
    <w:name w:val="footer"/>
    <w:basedOn w:val="Normal"/>
    <w:link w:val="PiedepginaCar"/>
    <w:uiPriority w:val="99"/>
    <w:unhideWhenUsed/>
    <w:rsid w:val="00C2268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22685"/>
  </w:style>
  <w:style w:type="paragraph" w:styleId="Prrafodelista">
    <w:name w:val="List Paragraph"/>
    <w:basedOn w:val="Normal"/>
    <w:uiPriority w:val="34"/>
    <w:qFormat/>
    <w:rsid w:val="006D2B51"/>
    <w:pPr>
      <w:ind w:left="720"/>
      <w:contextualSpacing/>
    </w:pPr>
  </w:style>
  <w:style w:type="paragraph" w:styleId="NormalWeb">
    <w:name w:val="Normal (Web)"/>
    <w:basedOn w:val="Normal"/>
    <w:uiPriority w:val="99"/>
    <w:unhideWhenUsed/>
    <w:rsid w:val="006D2B51"/>
    <w:pPr>
      <w:spacing w:before="100" w:beforeAutospacing="1" w:after="100" w:afterAutospacing="1" w:line="240" w:lineRule="auto"/>
    </w:pPr>
    <w:rPr>
      <w:rFonts w:ascii="Times New Roman" w:eastAsia="Times New Roman" w:hAnsi="Times New Roman" w:cs="Times New Roman"/>
      <w:kern w:val="0"/>
      <w:sz w:val="24"/>
      <w:szCs w:val="24"/>
      <w:lang w:eastAsia="es-CO"/>
      <w14:ligatures w14:val="none"/>
    </w:rPr>
  </w:style>
  <w:style w:type="table" w:styleId="Tablaconcuadrcula">
    <w:name w:val="Table Grid"/>
    <w:basedOn w:val="Tablanormal"/>
    <w:uiPriority w:val="39"/>
    <w:rsid w:val="00AB3A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5oscura-nfasis3">
    <w:name w:val="Grid Table 5 Dark Accent 3"/>
    <w:basedOn w:val="Tablanormal"/>
    <w:uiPriority w:val="50"/>
    <w:rsid w:val="00AB3AD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Ttulo4Car">
    <w:name w:val="Título 4 Car"/>
    <w:basedOn w:val="Fuentedeprrafopredeter"/>
    <w:link w:val="Ttulo4"/>
    <w:uiPriority w:val="9"/>
    <w:rsid w:val="00A07D45"/>
    <w:rPr>
      <w:rFonts w:ascii="Times New Roman" w:eastAsia="Times New Roman" w:hAnsi="Times New Roman" w:cs="Times New Roman"/>
      <w:b/>
      <w:bCs/>
      <w:kern w:val="0"/>
      <w:sz w:val="24"/>
      <w:szCs w:val="24"/>
      <w:lang w:eastAsia="es-CO"/>
      <w14:ligatures w14:val="none"/>
    </w:rPr>
  </w:style>
  <w:style w:type="character" w:styleId="Textoennegrita">
    <w:name w:val="Strong"/>
    <w:basedOn w:val="Fuentedeprrafopredeter"/>
    <w:uiPriority w:val="22"/>
    <w:qFormat/>
    <w:rsid w:val="00A07D45"/>
    <w:rPr>
      <w:b/>
      <w:bCs/>
    </w:rPr>
  </w:style>
  <w:style w:type="character" w:customStyle="1" w:styleId="Ttulo3Car">
    <w:name w:val="Título 3 Car"/>
    <w:basedOn w:val="Fuentedeprrafopredeter"/>
    <w:link w:val="Ttulo3"/>
    <w:uiPriority w:val="9"/>
    <w:semiHidden/>
    <w:rsid w:val="00FB63D0"/>
    <w:rPr>
      <w:rFonts w:asciiTheme="majorHAnsi" w:eastAsiaTheme="majorEastAsia" w:hAnsiTheme="majorHAnsi" w:cstheme="majorBidi"/>
      <w:color w:val="1F3763" w:themeColor="accent1" w:themeShade="7F"/>
      <w:sz w:val="24"/>
      <w:szCs w:val="24"/>
    </w:rPr>
  </w:style>
  <w:style w:type="character" w:styleId="Hipervnculo">
    <w:name w:val="Hyperlink"/>
    <w:basedOn w:val="Fuentedeprrafopredeter"/>
    <w:uiPriority w:val="99"/>
    <w:unhideWhenUsed/>
    <w:rsid w:val="00205ED9"/>
    <w:rPr>
      <w:color w:val="0563C1" w:themeColor="hyperlink"/>
      <w:u w:val="single"/>
    </w:rPr>
  </w:style>
  <w:style w:type="character" w:styleId="Mencinsinresolver">
    <w:name w:val="Unresolved Mention"/>
    <w:basedOn w:val="Fuentedeprrafopredeter"/>
    <w:uiPriority w:val="99"/>
    <w:semiHidden/>
    <w:unhideWhenUsed/>
    <w:rsid w:val="00205ED9"/>
    <w:rPr>
      <w:color w:val="605E5C"/>
      <w:shd w:val="clear" w:color="auto" w:fill="E1DFDD"/>
    </w:rPr>
  </w:style>
  <w:style w:type="table" w:styleId="Tablaconcuadrcula4-nfasis5">
    <w:name w:val="Grid Table 4 Accent 5"/>
    <w:basedOn w:val="Tablanormal"/>
    <w:uiPriority w:val="49"/>
    <w:rsid w:val="00850AE2"/>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Ttulo2Car">
    <w:name w:val="Título 2 Car"/>
    <w:basedOn w:val="Fuentedeprrafopredeter"/>
    <w:link w:val="Ttulo2"/>
    <w:uiPriority w:val="9"/>
    <w:semiHidden/>
    <w:rsid w:val="00850AE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2000">
      <w:bodyDiv w:val="1"/>
      <w:marLeft w:val="0"/>
      <w:marRight w:val="0"/>
      <w:marTop w:val="0"/>
      <w:marBottom w:val="0"/>
      <w:divBdr>
        <w:top w:val="none" w:sz="0" w:space="0" w:color="auto"/>
        <w:left w:val="none" w:sz="0" w:space="0" w:color="auto"/>
        <w:bottom w:val="none" w:sz="0" w:space="0" w:color="auto"/>
        <w:right w:val="none" w:sz="0" w:space="0" w:color="auto"/>
      </w:divBdr>
    </w:div>
    <w:div w:id="325283811">
      <w:bodyDiv w:val="1"/>
      <w:marLeft w:val="0"/>
      <w:marRight w:val="0"/>
      <w:marTop w:val="0"/>
      <w:marBottom w:val="0"/>
      <w:divBdr>
        <w:top w:val="none" w:sz="0" w:space="0" w:color="auto"/>
        <w:left w:val="none" w:sz="0" w:space="0" w:color="auto"/>
        <w:bottom w:val="none" w:sz="0" w:space="0" w:color="auto"/>
        <w:right w:val="none" w:sz="0" w:space="0" w:color="auto"/>
      </w:divBdr>
    </w:div>
    <w:div w:id="330764946">
      <w:bodyDiv w:val="1"/>
      <w:marLeft w:val="0"/>
      <w:marRight w:val="0"/>
      <w:marTop w:val="0"/>
      <w:marBottom w:val="0"/>
      <w:divBdr>
        <w:top w:val="none" w:sz="0" w:space="0" w:color="auto"/>
        <w:left w:val="none" w:sz="0" w:space="0" w:color="auto"/>
        <w:bottom w:val="none" w:sz="0" w:space="0" w:color="auto"/>
        <w:right w:val="none" w:sz="0" w:space="0" w:color="auto"/>
      </w:divBdr>
    </w:div>
    <w:div w:id="519009677">
      <w:bodyDiv w:val="1"/>
      <w:marLeft w:val="0"/>
      <w:marRight w:val="0"/>
      <w:marTop w:val="0"/>
      <w:marBottom w:val="0"/>
      <w:divBdr>
        <w:top w:val="none" w:sz="0" w:space="0" w:color="auto"/>
        <w:left w:val="none" w:sz="0" w:space="0" w:color="auto"/>
        <w:bottom w:val="none" w:sz="0" w:space="0" w:color="auto"/>
        <w:right w:val="none" w:sz="0" w:space="0" w:color="auto"/>
      </w:divBdr>
    </w:div>
    <w:div w:id="590236826">
      <w:bodyDiv w:val="1"/>
      <w:marLeft w:val="0"/>
      <w:marRight w:val="0"/>
      <w:marTop w:val="0"/>
      <w:marBottom w:val="0"/>
      <w:divBdr>
        <w:top w:val="none" w:sz="0" w:space="0" w:color="auto"/>
        <w:left w:val="none" w:sz="0" w:space="0" w:color="auto"/>
        <w:bottom w:val="none" w:sz="0" w:space="0" w:color="auto"/>
        <w:right w:val="none" w:sz="0" w:space="0" w:color="auto"/>
      </w:divBdr>
    </w:div>
    <w:div w:id="641928617">
      <w:bodyDiv w:val="1"/>
      <w:marLeft w:val="0"/>
      <w:marRight w:val="0"/>
      <w:marTop w:val="0"/>
      <w:marBottom w:val="0"/>
      <w:divBdr>
        <w:top w:val="none" w:sz="0" w:space="0" w:color="auto"/>
        <w:left w:val="none" w:sz="0" w:space="0" w:color="auto"/>
        <w:bottom w:val="none" w:sz="0" w:space="0" w:color="auto"/>
        <w:right w:val="none" w:sz="0" w:space="0" w:color="auto"/>
      </w:divBdr>
    </w:div>
    <w:div w:id="775322709">
      <w:bodyDiv w:val="1"/>
      <w:marLeft w:val="0"/>
      <w:marRight w:val="0"/>
      <w:marTop w:val="0"/>
      <w:marBottom w:val="0"/>
      <w:divBdr>
        <w:top w:val="none" w:sz="0" w:space="0" w:color="auto"/>
        <w:left w:val="none" w:sz="0" w:space="0" w:color="auto"/>
        <w:bottom w:val="none" w:sz="0" w:space="0" w:color="auto"/>
        <w:right w:val="none" w:sz="0" w:space="0" w:color="auto"/>
      </w:divBdr>
    </w:div>
    <w:div w:id="829250286">
      <w:bodyDiv w:val="1"/>
      <w:marLeft w:val="0"/>
      <w:marRight w:val="0"/>
      <w:marTop w:val="0"/>
      <w:marBottom w:val="0"/>
      <w:divBdr>
        <w:top w:val="none" w:sz="0" w:space="0" w:color="auto"/>
        <w:left w:val="none" w:sz="0" w:space="0" w:color="auto"/>
        <w:bottom w:val="none" w:sz="0" w:space="0" w:color="auto"/>
        <w:right w:val="none" w:sz="0" w:space="0" w:color="auto"/>
      </w:divBdr>
    </w:div>
    <w:div w:id="914514326">
      <w:bodyDiv w:val="1"/>
      <w:marLeft w:val="0"/>
      <w:marRight w:val="0"/>
      <w:marTop w:val="0"/>
      <w:marBottom w:val="0"/>
      <w:divBdr>
        <w:top w:val="none" w:sz="0" w:space="0" w:color="auto"/>
        <w:left w:val="none" w:sz="0" w:space="0" w:color="auto"/>
        <w:bottom w:val="none" w:sz="0" w:space="0" w:color="auto"/>
        <w:right w:val="none" w:sz="0" w:space="0" w:color="auto"/>
      </w:divBdr>
    </w:div>
    <w:div w:id="974019568">
      <w:bodyDiv w:val="1"/>
      <w:marLeft w:val="0"/>
      <w:marRight w:val="0"/>
      <w:marTop w:val="0"/>
      <w:marBottom w:val="0"/>
      <w:divBdr>
        <w:top w:val="none" w:sz="0" w:space="0" w:color="auto"/>
        <w:left w:val="none" w:sz="0" w:space="0" w:color="auto"/>
        <w:bottom w:val="none" w:sz="0" w:space="0" w:color="auto"/>
        <w:right w:val="none" w:sz="0" w:space="0" w:color="auto"/>
      </w:divBdr>
    </w:div>
    <w:div w:id="1012754874">
      <w:bodyDiv w:val="1"/>
      <w:marLeft w:val="0"/>
      <w:marRight w:val="0"/>
      <w:marTop w:val="0"/>
      <w:marBottom w:val="0"/>
      <w:divBdr>
        <w:top w:val="none" w:sz="0" w:space="0" w:color="auto"/>
        <w:left w:val="none" w:sz="0" w:space="0" w:color="auto"/>
        <w:bottom w:val="none" w:sz="0" w:space="0" w:color="auto"/>
        <w:right w:val="none" w:sz="0" w:space="0" w:color="auto"/>
      </w:divBdr>
    </w:div>
    <w:div w:id="1040205938">
      <w:bodyDiv w:val="1"/>
      <w:marLeft w:val="0"/>
      <w:marRight w:val="0"/>
      <w:marTop w:val="0"/>
      <w:marBottom w:val="0"/>
      <w:divBdr>
        <w:top w:val="none" w:sz="0" w:space="0" w:color="auto"/>
        <w:left w:val="none" w:sz="0" w:space="0" w:color="auto"/>
        <w:bottom w:val="none" w:sz="0" w:space="0" w:color="auto"/>
        <w:right w:val="none" w:sz="0" w:space="0" w:color="auto"/>
      </w:divBdr>
    </w:div>
    <w:div w:id="1057360076">
      <w:bodyDiv w:val="1"/>
      <w:marLeft w:val="0"/>
      <w:marRight w:val="0"/>
      <w:marTop w:val="0"/>
      <w:marBottom w:val="0"/>
      <w:divBdr>
        <w:top w:val="none" w:sz="0" w:space="0" w:color="auto"/>
        <w:left w:val="none" w:sz="0" w:space="0" w:color="auto"/>
        <w:bottom w:val="none" w:sz="0" w:space="0" w:color="auto"/>
        <w:right w:val="none" w:sz="0" w:space="0" w:color="auto"/>
      </w:divBdr>
    </w:div>
    <w:div w:id="1079252240">
      <w:bodyDiv w:val="1"/>
      <w:marLeft w:val="0"/>
      <w:marRight w:val="0"/>
      <w:marTop w:val="0"/>
      <w:marBottom w:val="0"/>
      <w:divBdr>
        <w:top w:val="none" w:sz="0" w:space="0" w:color="auto"/>
        <w:left w:val="none" w:sz="0" w:space="0" w:color="auto"/>
        <w:bottom w:val="none" w:sz="0" w:space="0" w:color="auto"/>
        <w:right w:val="none" w:sz="0" w:space="0" w:color="auto"/>
      </w:divBdr>
    </w:div>
    <w:div w:id="1083528065">
      <w:bodyDiv w:val="1"/>
      <w:marLeft w:val="0"/>
      <w:marRight w:val="0"/>
      <w:marTop w:val="0"/>
      <w:marBottom w:val="0"/>
      <w:divBdr>
        <w:top w:val="none" w:sz="0" w:space="0" w:color="auto"/>
        <w:left w:val="none" w:sz="0" w:space="0" w:color="auto"/>
        <w:bottom w:val="none" w:sz="0" w:space="0" w:color="auto"/>
        <w:right w:val="none" w:sz="0" w:space="0" w:color="auto"/>
      </w:divBdr>
    </w:div>
    <w:div w:id="1128358788">
      <w:bodyDiv w:val="1"/>
      <w:marLeft w:val="0"/>
      <w:marRight w:val="0"/>
      <w:marTop w:val="0"/>
      <w:marBottom w:val="0"/>
      <w:divBdr>
        <w:top w:val="none" w:sz="0" w:space="0" w:color="auto"/>
        <w:left w:val="none" w:sz="0" w:space="0" w:color="auto"/>
        <w:bottom w:val="none" w:sz="0" w:space="0" w:color="auto"/>
        <w:right w:val="none" w:sz="0" w:space="0" w:color="auto"/>
      </w:divBdr>
    </w:div>
    <w:div w:id="1154564333">
      <w:bodyDiv w:val="1"/>
      <w:marLeft w:val="0"/>
      <w:marRight w:val="0"/>
      <w:marTop w:val="0"/>
      <w:marBottom w:val="0"/>
      <w:divBdr>
        <w:top w:val="none" w:sz="0" w:space="0" w:color="auto"/>
        <w:left w:val="none" w:sz="0" w:space="0" w:color="auto"/>
        <w:bottom w:val="none" w:sz="0" w:space="0" w:color="auto"/>
        <w:right w:val="none" w:sz="0" w:space="0" w:color="auto"/>
      </w:divBdr>
    </w:div>
    <w:div w:id="1198539823">
      <w:bodyDiv w:val="1"/>
      <w:marLeft w:val="0"/>
      <w:marRight w:val="0"/>
      <w:marTop w:val="0"/>
      <w:marBottom w:val="0"/>
      <w:divBdr>
        <w:top w:val="none" w:sz="0" w:space="0" w:color="auto"/>
        <w:left w:val="none" w:sz="0" w:space="0" w:color="auto"/>
        <w:bottom w:val="none" w:sz="0" w:space="0" w:color="auto"/>
        <w:right w:val="none" w:sz="0" w:space="0" w:color="auto"/>
      </w:divBdr>
    </w:div>
    <w:div w:id="1227380799">
      <w:bodyDiv w:val="1"/>
      <w:marLeft w:val="0"/>
      <w:marRight w:val="0"/>
      <w:marTop w:val="0"/>
      <w:marBottom w:val="0"/>
      <w:divBdr>
        <w:top w:val="none" w:sz="0" w:space="0" w:color="auto"/>
        <w:left w:val="none" w:sz="0" w:space="0" w:color="auto"/>
        <w:bottom w:val="none" w:sz="0" w:space="0" w:color="auto"/>
        <w:right w:val="none" w:sz="0" w:space="0" w:color="auto"/>
      </w:divBdr>
    </w:div>
    <w:div w:id="1308365117">
      <w:bodyDiv w:val="1"/>
      <w:marLeft w:val="0"/>
      <w:marRight w:val="0"/>
      <w:marTop w:val="0"/>
      <w:marBottom w:val="0"/>
      <w:divBdr>
        <w:top w:val="none" w:sz="0" w:space="0" w:color="auto"/>
        <w:left w:val="none" w:sz="0" w:space="0" w:color="auto"/>
        <w:bottom w:val="none" w:sz="0" w:space="0" w:color="auto"/>
        <w:right w:val="none" w:sz="0" w:space="0" w:color="auto"/>
      </w:divBdr>
    </w:div>
    <w:div w:id="1309826886">
      <w:bodyDiv w:val="1"/>
      <w:marLeft w:val="0"/>
      <w:marRight w:val="0"/>
      <w:marTop w:val="0"/>
      <w:marBottom w:val="0"/>
      <w:divBdr>
        <w:top w:val="none" w:sz="0" w:space="0" w:color="auto"/>
        <w:left w:val="none" w:sz="0" w:space="0" w:color="auto"/>
        <w:bottom w:val="none" w:sz="0" w:space="0" w:color="auto"/>
        <w:right w:val="none" w:sz="0" w:space="0" w:color="auto"/>
      </w:divBdr>
    </w:div>
    <w:div w:id="1327056937">
      <w:bodyDiv w:val="1"/>
      <w:marLeft w:val="0"/>
      <w:marRight w:val="0"/>
      <w:marTop w:val="0"/>
      <w:marBottom w:val="0"/>
      <w:divBdr>
        <w:top w:val="none" w:sz="0" w:space="0" w:color="auto"/>
        <w:left w:val="none" w:sz="0" w:space="0" w:color="auto"/>
        <w:bottom w:val="none" w:sz="0" w:space="0" w:color="auto"/>
        <w:right w:val="none" w:sz="0" w:space="0" w:color="auto"/>
      </w:divBdr>
    </w:div>
    <w:div w:id="1329483074">
      <w:bodyDiv w:val="1"/>
      <w:marLeft w:val="0"/>
      <w:marRight w:val="0"/>
      <w:marTop w:val="0"/>
      <w:marBottom w:val="0"/>
      <w:divBdr>
        <w:top w:val="none" w:sz="0" w:space="0" w:color="auto"/>
        <w:left w:val="none" w:sz="0" w:space="0" w:color="auto"/>
        <w:bottom w:val="none" w:sz="0" w:space="0" w:color="auto"/>
        <w:right w:val="none" w:sz="0" w:space="0" w:color="auto"/>
      </w:divBdr>
    </w:div>
    <w:div w:id="1444416767">
      <w:bodyDiv w:val="1"/>
      <w:marLeft w:val="0"/>
      <w:marRight w:val="0"/>
      <w:marTop w:val="0"/>
      <w:marBottom w:val="0"/>
      <w:divBdr>
        <w:top w:val="none" w:sz="0" w:space="0" w:color="auto"/>
        <w:left w:val="none" w:sz="0" w:space="0" w:color="auto"/>
        <w:bottom w:val="none" w:sz="0" w:space="0" w:color="auto"/>
        <w:right w:val="none" w:sz="0" w:space="0" w:color="auto"/>
      </w:divBdr>
      <w:divsChild>
        <w:div w:id="626201664">
          <w:marLeft w:val="0"/>
          <w:marRight w:val="0"/>
          <w:marTop w:val="0"/>
          <w:marBottom w:val="0"/>
          <w:divBdr>
            <w:top w:val="none" w:sz="0" w:space="0" w:color="auto"/>
            <w:left w:val="none" w:sz="0" w:space="0" w:color="auto"/>
            <w:bottom w:val="none" w:sz="0" w:space="0" w:color="auto"/>
            <w:right w:val="none" w:sz="0" w:space="0" w:color="auto"/>
          </w:divBdr>
          <w:divsChild>
            <w:div w:id="144900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219695">
      <w:bodyDiv w:val="1"/>
      <w:marLeft w:val="0"/>
      <w:marRight w:val="0"/>
      <w:marTop w:val="0"/>
      <w:marBottom w:val="0"/>
      <w:divBdr>
        <w:top w:val="none" w:sz="0" w:space="0" w:color="auto"/>
        <w:left w:val="none" w:sz="0" w:space="0" w:color="auto"/>
        <w:bottom w:val="none" w:sz="0" w:space="0" w:color="auto"/>
        <w:right w:val="none" w:sz="0" w:space="0" w:color="auto"/>
      </w:divBdr>
      <w:divsChild>
        <w:div w:id="1113289188">
          <w:marLeft w:val="0"/>
          <w:marRight w:val="0"/>
          <w:marTop w:val="0"/>
          <w:marBottom w:val="0"/>
          <w:divBdr>
            <w:top w:val="none" w:sz="0" w:space="0" w:color="auto"/>
            <w:left w:val="none" w:sz="0" w:space="0" w:color="auto"/>
            <w:bottom w:val="none" w:sz="0" w:space="0" w:color="auto"/>
            <w:right w:val="none" w:sz="0" w:space="0" w:color="auto"/>
          </w:divBdr>
          <w:divsChild>
            <w:div w:id="47259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612625">
      <w:bodyDiv w:val="1"/>
      <w:marLeft w:val="0"/>
      <w:marRight w:val="0"/>
      <w:marTop w:val="0"/>
      <w:marBottom w:val="0"/>
      <w:divBdr>
        <w:top w:val="none" w:sz="0" w:space="0" w:color="auto"/>
        <w:left w:val="none" w:sz="0" w:space="0" w:color="auto"/>
        <w:bottom w:val="none" w:sz="0" w:space="0" w:color="auto"/>
        <w:right w:val="none" w:sz="0" w:space="0" w:color="auto"/>
      </w:divBdr>
    </w:div>
    <w:div w:id="1579512883">
      <w:bodyDiv w:val="1"/>
      <w:marLeft w:val="0"/>
      <w:marRight w:val="0"/>
      <w:marTop w:val="0"/>
      <w:marBottom w:val="0"/>
      <w:divBdr>
        <w:top w:val="none" w:sz="0" w:space="0" w:color="auto"/>
        <w:left w:val="none" w:sz="0" w:space="0" w:color="auto"/>
        <w:bottom w:val="none" w:sz="0" w:space="0" w:color="auto"/>
        <w:right w:val="none" w:sz="0" w:space="0" w:color="auto"/>
      </w:divBdr>
    </w:div>
    <w:div w:id="1581132123">
      <w:bodyDiv w:val="1"/>
      <w:marLeft w:val="0"/>
      <w:marRight w:val="0"/>
      <w:marTop w:val="0"/>
      <w:marBottom w:val="0"/>
      <w:divBdr>
        <w:top w:val="none" w:sz="0" w:space="0" w:color="auto"/>
        <w:left w:val="none" w:sz="0" w:space="0" w:color="auto"/>
        <w:bottom w:val="none" w:sz="0" w:space="0" w:color="auto"/>
        <w:right w:val="none" w:sz="0" w:space="0" w:color="auto"/>
      </w:divBdr>
    </w:div>
    <w:div w:id="1644386448">
      <w:bodyDiv w:val="1"/>
      <w:marLeft w:val="0"/>
      <w:marRight w:val="0"/>
      <w:marTop w:val="0"/>
      <w:marBottom w:val="0"/>
      <w:divBdr>
        <w:top w:val="none" w:sz="0" w:space="0" w:color="auto"/>
        <w:left w:val="none" w:sz="0" w:space="0" w:color="auto"/>
        <w:bottom w:val="none" w:sz="0" w:space="0" w:color="auto"/>
        <w:right w:val="none" w:sz="0" w:space="0" w:color="auto"/>
      </w:divBdr>
    </w:div>
    <w:div w:id="1667241420">
      <w:bodyDiv w:val="1"/>
      <w:marLeft w:val="0"/>
      <w:marRight w:val="0"/>
      <w:marTop w:val="0"/>
      <w:marBottom w:val="0"/>
      <w:divBdr>
        <w:top w:val="none" w:sz="0" w:space="0" w:color="auto"/>
        <w:left w:val="none" w:sz="0" w:space="0" w:color="auto"/>
        <w:bottom w:val="none" w:sz="0" w:space="0" w:color="auto"/>
        <w:right w:val="none" w:sz="0" w:space="0" w:color="auto"/>
      </w:divBdr>
    </w:div>
    <w:div w:id="1746104180">
      <w:bodyDiv w:val="1"/>
      <w:marLeft w:val="0"/>
      <w:marRight w:val="0"/>
      <w:marTop w:val="0"/>
      <w:marBottom w:val="0"/>
      <w:divBdr>
        <w:top w:val="none" w:sz="0" w:space="0" w:color="auto"/>
        <w:left w:val="none" w:sz="0" w:space="0" w:color="auto"/>
        <w:bottom w:val="none" w:sz="0" w:space="0" w:color="auto"/>
        <w:right w:val="none" w:sz="0" w:space="0" w:color="auto"/>
      </w:divBdr>
    </w:div>
    <w:div w:id="1802574351">
      <w:bodyDiv w:val="1"/>
      <w:marLeft w:val="0"/>
      <w:marRight w:val="0"/>
      <w:marTop w:val="0"/>
      <w:marBottom w:val="0"/>
      <w:divBdr>
        <w:top w:val="none" w:sz="0" w:space="0" w:color="auto"/>
        <w:left w:val="none" w:sz="0" w:space="0" w:color="auto"/>
        <w:bottom w:val="none" w:sz="0" w:space="0" w:color="auto"/>
        <w:right w:val="none" w:sz="0" w:space="0" w:color="auto"/>
      </w:divBdr>
    </w:div>
    <w:div w:id="1811827821">
      <w:bodyDiv w:val="1"/>
      <w:marLeft w:val="0"/>
      <w:marRight w:val="0"/>
      <w:marTop w:val="0"/>
      <w:marBottom w:val="0"/>
      <w:divBdr>
        <w:top w:val="none" w:sz="0" w:space="0" w:color="auto"/>
        <w:left w:val="none" w:sz="0" w:space="0" w:color="auto"/>
        <w:bottom w:val="none" w:sz="0" w:space="0" w:color="auto"/>
        <w:right w:val="none" w:sz="0" w:space="0" w:color="auto"/>
      </w:divBdr>
    </w:div>
    <w:div w:id="1822574843">
      <w:bodyDiv w:val="1"/>
      <w:marLeft w:val="0"/>
      <w:marRight w:val="0"/>
      <w:marTop w:val="0"/>
      <w:marBottom w:val="0"/>
      <w:divBdr>
        <w:top w:val="none" w:sz="0" w:space="0" w:color="auto"/>
        <w:left w:val="none" w:sz="0" w:space="0" w:color="auto"/>
        <w:bottom w:val="none" w:sz="0" w:space="0" w:color="auto"/>
        <w:right w:val="none" w:sz="0" w:space="0" w:color="auto"/>
      </w:divBdr>
    </w:div>
    <w:div w:id="1830949109">
      <w:bodyDiv w:val="1"/>
      <w:marLeft w:val="0"/>
      <w:marRight w:val="0"/>
      <w:marTop w:val="0"/>
      <w:marBottom w:val="0"/>
      <w:divBdr>
        <w:top w:val="none" w:sz="0" w:space="0" w:color="auto"/>
        <w:left w:val="none" w:sz="0" w:space="0" w:color="auto"/>
        <w:bottom w:val="none" w:sz="0" w:space="0" w:color="auto"/>
        <w:right w:val="none" w:sz="0" w:space="0" w:color="auto"/>
      </w:divBdr>
    </w:div>
    <w:div w:id="1896817443">
      <w:bodyDiv w:val="1"/>
      <w:marLeft w:val="0"/>
      <w:marRight w:val="0"/>
      <w:marTop w:val="0"/>
      <w:marBottom w:val="0"/>
      <w:divBdr>
        <w:top w:val="none" w:sz="0" w:space="0" w:color="auto"/>
        <w:left w:val="none" w:sz="0" w:space="0" w:color="auto"/>
        <w:bottom w:val="none" w:sz="0" w:space="0" w:color="auto"/>
        <w:right w:val="none" w:sz="0" w:space="0" w:color="auto"/>
      </w:divBdr>
    </w:div>
    <w:div w:id="1925528919">
      <w:bodyDiv w:val="1"/>
      <w:marLeft w:val="0"/>
      <w:marRight w:val="0"/>
      <w:marTop w:val="0"/>
      <w:marBottom w:val="0"/>
      <w:divBdr>
        <w:top w:val="none" w:sz="0" w:space="0" w:color="auto"/>
        <w:left w:val="none" w:sz="0" w:space="0" w:color="auto"/>
        <w:bottom w:val="none" w:sz="0" w:space="0" w:color="auto"/>
        <w:right w:val="none" w:sz="0" w:space="0" w:color="auto"/>
      </w:divBdr>
    </w:div>
    <w:div w:id="1931696911">
      <w:bodyDiv w:val="1"/>
      <w:marLeft w:val="0"/>
      <w:marRight w:val="0"/>
      <w:marTop w:val="0"/>
      <w:marBottom w:val="0"/>
      <w:divBdr>
        <w:top w:val="none" w:sz="0" w:space="0" w:color="auto"/>
        <w:left w:val="none" w:sz="0" w:space="0" w:color="auto"/>
        <w:bottom w:val="none" w:sz="0" w:space="0" w:color="auto"/>
        <w:right w:val="none" w:sz="0" w:space="0" w:color="auto"/>
      </w:divBdr>
      <w:divsChild>
        <w:div w:id="1103302039">
          <w:marLeft w:val="0"/>
          <w:marRight w:val="0"/>
          <w:marTop w:val="0"/>
          <w:marBottom w:val="0"/>
          <w:divBdr>
            <w:top w:val="none" w:sz="0" w:space="0" w:color="auto"/>
            <w:left w:val="none" w:sz="0" w:space="0" w:color="auto"/>
            <w:bottom w:val="none" w:sz="0" w:space="0" w:color="auto"/>
            <w:right w:val="none" w:sz="0" w:space="0" w:color="auto"/>
          </w:divBdr>
          <w:divsChild>
            <w:div w:id="157247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659583">
      <w:bodyDiv w:val="1"/>
      <w:marLeft w:val="0"/>
      <w:marRight w:val="0"/>
      <w:marTop w:val="0"/>
      <w:marBottom w:val="0"/>
      <w:divBdr>
        <w:top w:val="none" w:sz="0" w:space="0" w:color="auto"/>
        <w:left w:val="none" w:sz="0" w:space="0" w:color="auto"/>
        <w:bottom w:val="none" w:sz="0" w:space="0" w:color="auto"/>
        <w:right w:val="none" w:sz="0" w:space="0" w:color="auto"/>
      </w:divBdr>
    </w:div>
    <w:div w:id="1980379850">
      <w:bodyDiv w:val="1"/>
      <w:marLeft w:val="0"/>
      <w:marRight w:val="0"/>
      <w:marTop w:val="0"/>
      <w:marBottom w:val="0"/>
      <w:divBdr>
        <w:top w:val="none" w:sz="0" w:space="0" w:color="auto"/>
        <w:left w:val="none" w:sz="0" w:space="0" w:color="auto"/>
        <w:bottom w:val="none" w:sz="0" w:space="0" w:color="auto"/>
        <w:right w:val="none" w:sz="0" w:space="0" w:color="auto"/>
      </w:divBdr>
      <w:divsChild>
        <w:div w:id="1587961255">
          <w:marLeft w:val="0"/>
          <w:marRight w:val="0"/>
          <w:marTop w:val="0"/>
          <w:marBottom w:val="0"/>
          <w:divBdr>
            <w:top w:val="none" w:sz="0" w:space="0" w:color="auto"/>
            <w:left w:val="none" w:sz="0" w:space="0" w:color="auto"/>
            <w:bottom w:val="none" w:sz="0" w:space="0" w:color="auto"/>
            <w:right w:val="none" w:sz="0" w:space="0" w:color="auto"/>
          </w:divBdr>
          <w:divsChild>
            <w:div w:id="96234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166284">
      <w:bodyDiv w:val="1"/>
      <w:marLeft w:val="0"/>
      <w:marRight w:val="0"/>
      <w:marTop w:val="0"/>
      <w:marBottom w:val="0"/>
      <w:divBdr>
        <w:top w:val="none" w:sz="0" w:space="0" w:color="auto"/>
        <w:left w:val="none" w:sz="0" w:space="0" w:color="auto"/>
        <w:bottom w:val="none" w:sz="0" w:space="0" w:color="auto"/>
        <w:right w:val="none" w:sz="0" w:space="0" w:color="auto"/>
      </w:divBdr>
    </w:div>
    <w:div w:id="2006469591">
      <w:bodyDiv w:val="1"/>
      <w:marLeft w:val="0"/>
      <w:marRight w:val="0"/>
      <w:marTop w:val="0"/>
      <w:marBottom w:val="0"/>
      <w:divBdr>
        <w:top w:val="none" w:sz="0" w:space="0" w:color="auto"/>
        <w:left w:val="none" w:sz="0" w:space="0" w:color="auto"/>
        <w:bottom w:val="none" w:sz="0" w:space="0" w:color="auto"/>
        <w:right w:val="none" w:sz="0" w:space="0" w:color="auto"/>
      </w:divBdr>
    </w:div>
    <w:div w:id="2069107558">
      <w:bodyDiv w:val="1"/>
      <w:marLeft w:val="0"/>
      <w:marRight w:val="0"/>
      <w:marTop w:val="0"/>
      <w:marBottom w:val="0"/>
      <w:divBdr>
        <w:top w:val="none" w:sz="0" w:space="0" w:color="auto"/>
        <w:left w:val="none" w:sz="0" w:space="0" w:color="auto"/>
        <w:bottom w:val="none" w:sz="0" w:space="0" w:color="auto"/>
        <w:right w:val="none" w:sz="0" w:space="0" w:color="auto"/>
      </w:divBdr>
    </w:div>
    <w:div w:id="2105221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E83A7A-ED92-44DC-BFE2-54FBBCAE3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13055</Words>
  <Characters>71807</Characters>
  <Application>Microsoft Office Word</Application>
  <DocSecurity>0</DocSecurity>
  <Lines>598</Lines>
  <Paragraphs>169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pertuz</dc:creator>
  <cp:keywords/>
  <dc:description/>
  <cp:lastModifiedBy>Luz Niebles</cp:lastModifiedBy>
  <cp:revision>2</cp:revision>
  <dcterms:created xsi:type="dcterms:W3CDTF">2025-11-07T16:28:00Z</dcterms:created>
  <dcterms:modified xsi:type="dcterms:W3CDTF">2025-11-07T16:28:00Z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611e5adeefa5eb4244315995ca0c1d856fdb6e2fc52eea0d31c8e8fbf7070e26</vt:lpwstr>
  </property>
</Properties>
</file>