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otnotes.xml" ContentType="application/vnd.openxmlformats-officedocument.wordprocessingml.footnotes+xml"/>
  <Override PartName="/word/glossary/endnotes.xml" ContentType="application/vnd.openxmlformats-officedocument.wordprocessingml.endnote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1A06A2" w14:textId="77777777" w:rsidR="00BE70E2" w:rsidRDefault="00BE70E2">
      <w:pPr>
        <w:pStyle w:val="Title2"/>
        <w:spacing w:after="0"/>
        <w:rPr>
          <w:lang w:val="es-ES"/>
        </w:rPr>
      </w:pPr>
      <w:bookmarkStart w:id="0" w:name="_Hlk105339912"/>
    </w:p>
    <w:p w14:paraId="767D7BF2" w14:textId="77777777" w:rsidR="00BE70E2" w:rsidRDefault="00000000">
      <w:pPr>
        <w:pStyle w:val="Title2"/>
        <w:spacing w:after="0"/>
        <w:rPr>
          <w:b/>
          <w:bCs/>
          <w:lang w:val="es-ES"/>
        </w:rPr>
      </w:pPr>
      <w:r>
        <w:rPr>
          <w:b/>
          <w:bCs/>
          <w:lang w:val="es-ES"/>
        </w:rPr>
        <w:t>La reforma pensional y sus consecuencias a largo plazo: sostenibilidad e inequidad para las futuras generaciones.</w:t>
      </w:r>
    </w:p>
    <w:p w14:paraId="4708EB79" w14:textId="77777777" w:rsidR="00BE70E2" w:rsidRDefault="00BE70E2">
      <w:pPr>
        <w:pStyle w:val="Title2"/>
        <w:spacing w:after="0"/>
        <w:rPr>
          <w:lang w:val="es-ES"/>
        </w:rPr>
      </w:pPr>
    </w:p>
    <w:p w14:paraId="3C3E64D6" w14:textId="77777777" w:rsidR="00BE70E2" w:rsidRDefault="00BE70E2">
      <w:pPr>
        <w:pStyle w:val="Title2"/>
        <w:spacing w:after="0"/>
        <w:rPr>
          <w:lang w:val="es-ES"/>
        </w:rPr>
      </w:pPr>
    </w:p>
    <w:p w14:paraId="40AF4474" w14:textId="77777777" w:rsidR="00BE70E2" w:rsidRDefault="00000000">
      <w:pPr>
        <w:pStyle w:val="Title2"/>
        <w:spacing w:after="0"/>
        <w:rPr>
          <w:lang w:val="es-ES"/>
        </w:rPr>
      </w:pPr>
      <w:r>
        <w:rPr>
          <w:lang w:val="es-ES"/>
        </w:rPr>
        <w:t>Moisés David Castañeda Reyes</w:t>
      </w:r>
    </w:p>
    <w:p w14:paraId="1EE1E066" w14:textId="77777777" w:rsidR="00BE70E2" w:rsidRDefault="00BE70E2">
      <w:pPr>
        <w:pStyle w:val="Title2"/>
        <w:spacing w:after="0"/>
        <w:rPr>
          <w:b/>
          <w:bCs/>
          <w:lang w:val="es-ES"/>
        </w:rPr>
      </w:pPr>
    </w:p>
    <w:p w14:paraId="5A6A5CC1" w14:textId="77777777" w:rsidR="00BE70E2" w:rsidRDefault="00000000">
      <w:pPr>
        <w:spacing w:after="0"/>
        <w:ind w:firstLine="0"/>
        <w:jc w:val="center"/>
        <w:rPr>
          <w:color w:val="000000"/>
        </w:rPr>
      </w:pPr>
      <w:r>
        <w:rPr>
          <w:color w:val="000000"/>
        </w:rPr>
        <w:t>Facultad de Jurisprudencia, Universidad Autónoma del Caribe, programa de derecho.</w:t>
      </w:r>
    </w:p>
    <w:p w14:paraId="3D753EB1" w14:textId="77777777" w:rsidR="00BE70E2" w:rsidRDefault="00BE70E2">
      <w:pPr>
        <w:pStyle w:val="Title2"/>
        <w:spacing w:after="0"/>
        <w:rPr>
          <w:color w:val="000000"/>
        </w:rPr>
      </w:pPr>
    </w:p>
    <w:p w14:paraId="55F2D953" w14:textId="77777777" w:rsidR="00BE70E2" w:rsidRDefault="00BE70E2">
      <w:pPr>
        <w:pStyle w:val="Title2"/>
        <w:spacing w:after="0"/>
        <w:rPr>
          <w:color w:val="000000"/>
        </w:rPr>
      </w:pPr>
    </w:p>
    <w:p w14:paraId="60883ADD" w14:textId="77777777" w:rsidR="00BE70E2" w:rsidRDefault="00000000">
      <w:pPr>
        <w:ind w:firstLine="0"/>
        <w:jc w:val="center"/>
        <w:rPr>
          <w:color w:val="000000"/>
        </w:rPr>
      </w:pPr>
      <w:r>
        <w:rPr>
          <w:color w:val="000000"/>
        </w:rPr>
        <w:t>Notas del autor.</w:t>
      </w:r>
    </w:p>
    <w:p w14:paraId="654717D6" w14:textId="77777777" w:rsidR="00BE70E2" w:rsidRDefault="00000000">
      <w:pPr>
        <w:ind w:firstLine="0"/>
        <w:jc w:val="center"/>
        <w:rPr>
          <w:color w:val="000000"/>
          <w:lang w:val="es-ES"/>
        </w:rPr>
      </w:pPr>
      <w:r>
        <w:rPr>
          <w:color w:val="000000"/>
        </w:rPr>
        <w:t>Este trabajo de grado fue realizado para optar al título de abogado, bajo la tutoría disciplinar de ELSA  DE LA ROSA BERDEJO  y la tutoría metodológica de YAMIL DE JESÚS GÓMEZ CONSUEGR</w:t>
      </w:r>
      <w:r>
        <w:rPr>
          <w:color w:val="000000"/>
          <w:lang w:val="es-ES"/>
        </w:rPr>
        <w:t>A</w:t>
      </w:r>
    </w:p>
    <w:p w14:paraId="736A47A1" w14:textId="77777777" w:rsidR="00BE70E2" w:rsidRDefault="00000000">
      <w:pPr>
        <w:ind w:firstLine="0"/>
        <w:jc w:val="center"/>
        <w:rPr>
          <w:color w:val="000000"/>
        </w:rPr>
      </w:pPr>
      <w:r>
        <w:rPr>
          <w:color w:val="000000"/>
        </w:rPr>
        <w:t>Quisiera expresar mi más sincero agradecimiento a mis tutores por su guía y paciencia a lo largo de esta investigación. Agradezco también a mi familia por su apoyo incondicional y a los profesores que inspiraron mi interés en esta área del derecho. Cualquier error u omisión presente en este documento es de mi exclusiva responsabilidad.</w:t>
      </w:r>
    </w:p>
    <w:p w14:paraId="4F4AD1FD" w14:textId="77777777" w:rsidR="00BE70E2" w:rsidRDefault="00000000">
      <w:pPr>
        <w:ind w:firstLine="0"/>
        <w:jc w:val="center"/>
        <w:rPr>
          <w:color w:val="000000"/>
        </w:rPr>
      </w:pPr>
      <w:r>
        <w:rPr>
          <w:color w:val="000000"/>
        </w:rPr>
        <w:t>La correspondencia relacionada con esta investigación puede ser dirigida al correo electrónico: [</w:t>
      </w:r>
      <w:r>
        <w:rPr>
          <w:color w:val="000000"/>
          <w:lang w:val="es-ES"/>
        </w:rPr>
        <w:t>moicas19@gmail.com</w:t>
      </w:r>
      <w:r>
        <w:rPr>
          <w:color w:val="000000"/>
        </w:rPr>
        <w:t>]</w:t>
      </w:r>
    </w:p>
    <w:p w14:paraId="0466C356" w14:textId="77777777" w:rsidR="00BE70E2" w:rsidRDefault="00BE70E2">
      <w:pPr>
        <w:ind w:firstLine="0"/>
        <w:jc w:val="center"/>
        <w:rPr>
          <w:color w:val="000000"/>
        </w:rPr>
      </w:pPr>
    </w:p>
    <w:bookmarkEnd w:id="0"/>
    <w:p w14:paraId="75606759" w14:textId="77777777" w:rsidR="00BE70E2" w:rsidRDefault="00000000">
      <w:pPr>
        <w:spacing w:after="0" w:line="240" w:lineRule="auto"/>
        <w:ind w:firstLine="0"/>
        <w:jc w:val="both"/>
        <w:rPr>
          <w:rFonts w:asciiTheme="majorHAnsi" w:eastAsiaTheme="majorEastAsia" w:hAnsiTheme="majorHAnsi" w:cstheme="majorBidi"/>
          <w:b/>
          <w:bCs/>
        </w:rPr>
      </w:pPr>
      <w:r>
        <w:rPr>
          <w:rFonts w:asciiTheme="majorHAnsi" w:eastAsiaTheme="majorEastAsia" w:hAnsiTheme="majorHAnsi" w:cstheme="majorBidi"/>
          <w:b/>
          <w:bCs/>
        </w:rPr>
        <w:br w:type="column"/>
      </w:r>
      <w:r>
        <w:rPr>
          <w:rFonts w:asciiTheme="majorHAnsi" w:eastAsiaTheme="majorEastAsia" w:hAnsiTheme="majorHAnsi" w:cstheme="majorBidi"/>
          <w:b/>
          <w:bCs/>
        </w:rPr>
        <w:lastRenderedPageBreak/>
        <w:t>Tabla de contenido</w:t>
      </w:r>
    </w:p>
    <w:sdt>
      <w:sdtPr>
        <w:rPr>
          <w:rFonts w:asciiTheme="minorHAnsi" w:eastAsiaTheme="minorEastAsia" w:hAnsiTheme="minorHAnsi" w:cstheme="minorBidi"/>
          <w:b w:val="0"/>
          <w:szCs w:val="24"/>
          <w:lang w:val="es-ES"/>
        </w:rPr>
        <w:id w:val="-1192684048"/>
        <w:docPartObj>
          <w:docPartGallery w:val="Table of Contents"/>
          <w:docPartUnique/>
        </w:docPartObj>
      </w:sdtPr>
      <w:sdtEndPr>
        <w:rPr>
          <w:bCs/>
        </w:rPr>
      </w:sdtEndPr>
      <w:sdtContent>
        <w:p w14:paraId="0E69A883" w14:textId="77777777" w:rsidR="00BE70E2" w:rsidRDefault="00BE70E2">
          <w:pPr>
            <w:pStyle w:val="TtuloTDC1"/>
            <w:spacing w:before="0" w:after="0"/>
          </w:pPr>
        </w:p>
        <w:p w14:paraId="067261B7" w14:textId="77777777" w:rsidR="00BE70E2" w:rsidRDefault="00000000">
          <w:pPr>
            <w:pStyle w:val="TDC1"/>
            <w:tabs>
              <w:tab w:val="right" w:leader="dot" w:pos="9350"/>
            </w:tabs>
            <w:rPr>
              <w:kern w:val="2"/>
              <w:lang w:eastAsia="es-CO"/>
              <w14:ligatures w14:val="standardContextual"/>
            </w:rPr>
          </w:pPr>
          <w:r>
            <w:rPr>
              <w:lang w:val="en-US"/>
            </w:rPr>
            <w:fldChar w:fldCharType="begin"/>
          </w:r>
          <w:r>
            <w:instrText xml:space="preserve"> TOC \o "1-3" \h \z \u </w:instrText>
          </w:r>
          <w:r>
            <w:rPr>
              <w:lang w:val="en-US"/>
            </w:rPr>
            <w:fldChar w:fldCharType="separate"/>
          </w:r>
          <w:hyperlink w:anchor="_Toc203825838" w:history="1">
            <w:r>
              <w:rPr>
                <w:rStyle w:val="Hipervnculo"/>
              </w:rPr>
              <w:t>Lista de tablas</w:t>
            </w:r>
            <w:r>
              <w:tab/>
            </w:r>
            <w:r>
              <w:fldChar w:fldCharType="begin"/>
            </w:r>
            <w:r>
              <w:instrText xml:space="preserve"> PAGEREF _Toc203825838 \h </w:instrText>
            </w:r>
            <w:r>
              <w:fldChar w:fldCharType="separate"/>
            </w:r>
            <w:r>
              <w:t>4</w:t>
            </w:r>
            <w:r>
              <w:fldChar w:fldCharType="end"/>
            </w:r>
          </w:hyperlink>
        </w:p>
        <w:p w14:paraId="6D1B5ED4" w14:textId="77777777" w:rsidR="00BE70E2" w:rsidRDefault="00000000">
          <w:pPr>
            <w:pStyle w:val="TDC1"/>
            <w:tabs>
              <w:tab w:val="right" w:leader="dot" w:pos="9350"/>
            </w:tabs>
            <w:rPr>
              <w:kern w:val="2"/>
              <w:lang w:eastAsia="es-CO"/>
              <w14:ligatures w14:val="standardContextual"/>
            </w:rPr>
          </w:pPr>
          <w:hyperlink w:anchor="_Toc203825839" w:history="1">
            <w:r>
              <w:rPr>
                <w:rStyle w:val="Hipervnculo"/>
              </w:rPr>
              <w:t>Introducción</w:t>
            </w:r>
            <w:r>
              <w:tab/>
            </w:r>
            <w:r>
              <w:fldChar w:fldCharType="begin"/>
            </w:r>
            <w:r>
              <w:instrText xml:space="preserve"> PAGEREF _Toc203825839 \h </w:instrText>
            </w:r>
            <w:r>
              <w:fldChar w:fldCharType="separate"/>
            </w:r>
            <w:r>
              <w:t>5</w:t>
            </w:r>
            <w:r>
              <w:fldChar w:fldCharType="end"/>
            </w:r>
          </w:hyperlink>
        </w:p>
        <w:p w14:paraId="4E11D171" w14:textId="77777777" w:rsidR="00BE70E2" w:rsidRDefault="00000000">
          <w:pPr>
            <w:pStyle w:val="TDC1"/>
            <w:tabs>
              <w:tab w:val="left" w:pos="1200"/>
              <w:tab w:val="right" w:leader="dot" w:pos="9350"/>
            </w:tabs>
            <w:rPr>
              <w:kern w:val="2"/>
              <w:lang w:eastAsia="es-CO"/>
              <w14:ligatures w14:val="standardContextual"/>
            </w:rPr>
          </w:pPr>
          <w:hyperlink w:anchor="_Toc203825840" w:history="1">
            <w:r>
              <w:rPr>
                <w:rStyle w:val="Hipervnculo"/>
              </w:rPr>
              <w:t>1.</w:t>
            </w:r>
            <w:r>
              <w:rPr>
                <w:kern w:val="2"/>
                <w:lang w:eastAsia="es-CO"/>
                <w14:ligatures w14:val="standardContextual"/>
              </w:rPr>
              <w:tab/>
            </w:r>
            <w:r>
              <w:rPr>
                <w:rStyle w:val="Hipervnculo"/>
              </w:rPr>
              <w:t>Planteamiento del problema</w:t>
            </w:r>
            <w:r>
              <w:tab/>
            </w:r>
            <w:r>
              <w:fldChar w:fldCharType="begin"/>
            </w:r>
            <w:r>
              <w:instrText xml:space="preserve"> PAGEREF _Toc203825840 \h </w:instrText>
            </w:r>
            <w:r>
              <w:fldChar w:fldCharType="separate"/>
            </w:r>
            <w:r>
              <w:t>7</w:t>
            </w:r>
            <w:r>
              <w:fldChar w:fldCharType="end"/>
            </w:r>
          </w:hyperlink>
        </w:p>
        <w:p w14:paraId="1C9CC195" w14:textId="77777777" w:rsidR="00BE70E2" w:rsidRDefault="00000000">
          <w:pPr>
            <w:pStyle w:val="TDC1"/>
            <w:tabs>
              <w:tab w:val="left" w:pos="1200"/>
              <w:tab w:val="right" w:leader="dot" w:pos="9350"/>
            </w:tabs>
          </w:pPr>
          <w:hyperlink w:anchor="_Toc203825841" w:history="1">
            <w:r>
              <w:rPr>
                <w:rStyle w:val="Hipervnculo"/>
              </w:rPr>
              <w:t>2.</w:t>
            </w:r>
            <w:r>
              <w:rPr>
                <w:kern w:val="2"/>
                <w:lang w:eastAsia="es-CO"/>
                <w14:ligatures w14:val="standardContextual"/>
              </w:rPr>
              <w:tab/>
            </w:r>
            <w:r>
              <w:rPr>
                <w:rStyle w:val="Hipervnculo"/>
              </w:rPr>
              <w:t xml:space="preserve"> </w:t>
            </w:r>
            <w:r>
              <w:rPr>
                <w:rStyle w:val="Hipervnculo"/>
                <w:lang w:val="es-ES"/>
              </w:rPr>
              <w:t>J</w:t>
            </w:r>
            <w:r>
              <w:rPr>
                <w:rStyle w:val="Hipervnculo"/>
              </w:rPr>
              <w:t>usti</w:t>
            </w:r>
            <w:r>
              <w:rPr>
                <w:rStyle w:val="Hipervnculo"/>
                <w:lang w:val="es-ES"/>
              </w:rPr>
              <w:t>ficacion y Objetivos</w:t>
            </w:r>
            <w:r>
              <w:tab/>
            </w:r>
            <w:r>
              <w:fldChar w:fldCharType="begin"/>
            </w:r>
            <w:r>
              <w:instrText xml:space="preserve"> PAGEREF _Toc203825841 \h </w:instrText>
            </w:r>
            <w:r>
              <w:fldChar w:fldCharType="separate"/>
            </w:r>
            <w:r>
              <w:t>10</w:t>
            </w:r>
            <w:r>
              <w:fldChar w:fldCharType="end"/>
            </w:r>
          </w:hyperlink>
        </w:p>
        <w:p w14:paraId="44BB2953" w14:textId="77777777" w:rsidR="00BE70E2" w:rsidRDefault="00000000">
          <w:pPr>
            <w:ind w:firstLineChars="450" w:firstLine="1080"/>
            <w:rPr>
              <w:lang w:val="es-ES"/>
            </w:rPr>
          </w:pPr>
          <w:r>
            <w:rPr>
              <w:lang w:val="es-ES"/>
            </w:rPr>
            <w:t xml:space="preserve"> 2.1. Pertinencia del tema ............................................................................................10</w:t>
          </w:r>
        </w:p>
        <w:p w14:paraId="5B2D37D5" w14:textId="77777777" w:rsidR="00BE70E2" w:rsidRDefault="00000000">
          <w:pPr>
            <w:ind w:firstLineChars="450" w:firstLine="1080"/>
            <w:rPr>
              <w:lang w:val="es-ES"/>
            </w:rPr>
          </w:pPr>
          <w:r>
            <w:rPr>
              <w:lang w:val="es-ES"/>
            </w:rPr>
            <w:t>2.2.  Importancia del tema............................................................................................10</w:t>
          </w:r>
        </w:p>
        <w:p w14:paraId="70C3C8AF" w14:textId="77777777" w:rsidR="00BE70E2" w:rsidRDefault="00000000">
          <w:pPr>
            <w:ind w:firstLineChars="450" w:firstLine="1080"/>
            <w:rPr>
              <w:lang w:val="es-ES"/>
            </w:rPr>
          </w:pPr>
          <w:r>
            <w:rPr>
              <w:lang w:val="es-ES"/>
            </w:rPr>
            <w:t>2.3.  Contribución de la investigación.........................................................................10</w:t>
          </w:r>
        </w:p>
        <w:p w14:paraId="21F6C767" w14:textId="77777777" w:rsidR="00BE70E2" w:rsidRDefault="00000000">
          <w:pPr>
            <w:ind w:firstLineChars="450" w:firstLine="1080"/>
            <w:rPr>
              <w:rStyle w:val="Hipervnculo"/>
              <w:lang w:val="es-ES"/>
            </w:rPr>
          </w:pPr>
          <w:r>
            <w:rPr>
              <w:rStyle w:val="Hipervnculo"/>
              <w:lang w:val="es-ES"/>
            </w:rPr>
            <w:t>2.4.  Impacto.................................................................................................................11</w:t>
          </w:r>
        </w:p>
        <w:p w14:paraId="134C8E91" w14:textId="77777777" w:rsidR="00BE70E2" w:rsidRDefault="00000000">
          <w:pPr>
            <w:ind w:firstLineChars="450" w:firstLine="1080"/>
            <w:rPr>
              <w:lang w:val="es-ES"/>
            </w:rPr>
          </w:pPr>
          <w:r>
            <w:rPr>
              <w:lang w:val="es-ES"/>
            </w:rPr>
            <w:t>2.5 Objetivos................................................................................................................11</w:t>
          </w:r>
        </w:p>
        <w:p w14:paraId="7B060379" w14:textId="77777777" w:rsidR="00BE70E2" w:rsidRDefault="00000000">
          <w:pPr>
            <w:ind w:firstLineChars="450" w:firstLine="1080"/>
            <w:rPr>
              <w:lang w:val="es-ES" w:eastAsia="es-CO"/>
            </w:rPr>
          </w:pPr>
          <w:r>
            <w:rPr>
              <w:lang w:val="es-ES" w:eastAsia="es-CO"/>
            </w:rPr>
            <w:t>2.5.1 Objetivos generales.............................................................................................11</w:t>
          </w:r>
        </w:p>
        <w:p w14:paraId="30C03F01" w14:textId="77777777" w:rsidR="00BE70E2" w:rsidRDefault="00000000">
          <w:pPr>
            <w:ind w:firstLineChars="450" w:firstLine="1080"/>
            <w:rPr>
              <w:lang w:val="es-ES" w:eastAsia="es-CO"/>
            </w:rPr>
          </w:pPr>
          <w:r>
            <w:rPr>
              <w:lang w:val="es-ES" w:eastAsia="es-CO"/>
            </w:rPr>
            <w:t>2.5.2 Objetivos especificos..........................................................................................12</w:t>
          </w:r>
        </w:p>
        <w:p w14:paraId="5A3DE18D" w14:textId="77777777" w:rsidR="00BE70E2" w:rsidRDefault="00000000">
          <w:pPr>
            <w:pStyle w:val="TDC1"/>
            <w:tabs>
              <w:tab w:val="left" w:pos="1200"/>
              <w:tab w:val="right" w:leader="dot" w:pos="9350"/>
            </w:tabs>
            <w:rPr>
              <w:kern w:val="2"/>
              <w:lang w:eastAsia="es-CO"/>
              <w14:ligatures w14:val="standardContextual"/>
            </w:rPr>
          </w:pPr>
          <w:hyperlink w:anchor="_Toc203825842" w:history="1">
            <w:r>
              <w:rPr>
                <w:rStyle w:val="Hipervnculo"/>
              </w:rPr>
              <w:t>3.</w:t>
            </w:r>
            <w:r>
              <w:rPr>
                <w:kern w:val="2"/>
                <w:lang w:eastAsia="es-CO"/>
                <w14:ligatures w14:val="standardContextual"/>
              </w:rPr>
              <w:tab/>
            </w:r>
            <w:r>
              <w:rPr>
                <w:rStyle w:val="Hipervnculo"/>
              </w:rPr>
              <w:t>Marco de referencia</w:t>
            </w:r>
            <w:r>
              <w:tab/>
            </w:r>
            <w:r>
              <w:fldChar w:fldCharType="begin"/>
            </w:r>
            <w:r>
              <w:instrText xml:space="preserve"> PAGEREF _Toc203825842 \h </w:instrText>
            </w:r>
            <w:r>
              <w:fldChar w:fldCharType="separate"/>
            </w:r>
            <w:r>
              <w:t>12</w:t>
            </w:r>
            <w:r>
              <w:fldChar w:fldCharType="end"/>
            </w:r>
          </w:hyperlink>
        </w:p>
        <w:p w14:paraId="1302D669" w14:textId="77777777" w:rsidR="00BE70E2" w:rsidRDefault="00000000">
          <w:pPr>
            <w:pStyle w:val="TDC2"/>
            <w:tabs>
              <w:tab w:val="right" w:leader="dot" w:pos="9350"/>
            </w:tabs>
            <w:rPr>
              <w:kern w:val="2"/>
              <w:lang w:eastAsia="es-CO"/>
              <w14:ligatures w14:val="standardContextual"/>
            </w:rPr>
          </w:pPr>
          <w:hyperlink w:anchor="_Toc203825843" w:history="1">
            <w:r>
              <w:rPr>
                <w:rStyle w:val="Hipervnculo"/>
              </w:rPr>
              <w:t>3.1. Marco conceptual</w:t>
            </w:r>
            <w:r>
              <w:tab/>
            </w:r>
            <w:r>
              <w:fldChar w:fldCharType="begin"/>
            </w:r>
            <w:r>
              <w:instrText xml:space="preserve"> PAGEREF _Toc203825843 \h </w:instrText>
            </w:r>
            <w:r>
              <w:fldChar w:fldCharType="separate"/>
            </w:r>
            <w:r>
              <w:t>12</w:t>
            </w:r>
            <w:r>
              <w:fldChar w:fldCharType="end"/>
            </w:r>
          </w:hyperlink>
        </w:p>
        <w:p w14:paraId="6EE83B1B" w14:textId="77777777" w:rsidR="00BE70E2" w:rsidRDefault="00000000">
          <w:pPr>
            <w:pStyle w:val="TDC3"/>
            <w:tabs>
              <w:tab w:val="right" w:leader="dot" w:pos="9350"/>
            </w:tabs>
            <w:rPr>
              <w:kern w:val="2"/>
              <w:lang w:eastAsia="es-CO"/>
              <w14:ligatures w14:val="standardContextual"/>
            </w:rPr>
          </w:pPr>
          <w:hyperlink w:anchor="_Toc203825844" w:history="1">
            <w:r>
              <w:rPr>
                <w:rStyle w:val="Hipervnculo"/>
              </w:rPr>
              <w:t>3.1.1. Sistema pensional</w:t>
            </w:r>
            <w:r>
              <w:tab/>
            </w:r>
            <w:r>
              <w:fldChar w:fldCharType="begin"/>
            </w:r>
            <w:r>
              <w:instrText xml:space="preserve"> PAGEREF _Toc203825844 \h </w:instrText>
            </w:r>
            <w:r>
              <w:fldChar w:fldCharType="separate"/>
            </w:r>
            <w:r>
              <w:t>12</w:t>
            </w:r>
            <w:r>
              <w:fldChar w:fldCharType="end"/>
            </w:r>
          </w:hyperlink>
        </w:p>
        <w:p w14:paraId="5E306727" w14:textId="77777777" w:rsidR="00BE70E2" w:rsidRDefault="00000000">
          <w:pPr>
            <w:pStyle w:val="TDC3"/>
            <w:tabs>
              <w:tab w:val="right" w:leader="dot" w:pos="9350"/>
            </w:tabs>
            <w:rPr>
              <w:kern w:val="2"/>
              <w:lang w:eastAsia="es-CO"/>
              <w14:ligatures w14:val="standardContextual"/>
            </w:rPr>
          </w:pPr>
          <w:hyperlink w:anchor="_Toc203825845" w:history="1">
            <w:r>
              <w:rPr>
                <w:rStyle w:val="Hipervnculo"/>
              </w:rPr>
              <w:t>3.1.2. Sostenibilidad financiera</w:t>
            </w:r>
            <w:r>
              <w:tab/>
            </w:r>
            <w:r>
              <w:fldChar w:fldCharType="begin"/>
            </w:r>
            <w:r>
              <w:instrText xml:space="preserve"> PAGEREF _Toc203825845 \h </w:instrText>
            </w:r>
            <w:r>
              <w:fldChar w:fldCharType="separate"/>
            </w:r>
            <w:r>
              <w:t>12</w:t>
            </w:r>
            <w:r>
              <w:fldChar w:fldCharType="end"/>
            </w:r>
          </w:hyperlink>
        </w:p>
        <w:p w14:paraId="01F23630" w14:textId="77777777" w:rsidR="00BE70E2" w:rsidRDefault="00000000">
          <w:pPr>
            <w:pStyle w:val="TDC3"/>
            <w:tabs>
              <w:tab w:val="right" w:leader="dot" w:pos="9350"/>
            </w:tabs>
            <w:rPr>
              <w:kern w:val="2"/>
              <w:lang w:eastAsia="es-CO"/>
              <w14:ligatures w14:val="standardContextual"/>
            </w:rPr>
          </w:pPr>
          <w:hyperlink w:anchor="_Toc203825846" w:history="1">
            <w:r>
              <w:rPr>
                <w:rStyle w:val="Hipervnculo"/>
              </w:rPr>
              <w:t>3.1.3. Déficit fiscal</w:t>
            </w:r>
            <w:r>
              <w:tab/>
            </w:r>
            <w:r>
              <w:fldChar w:fldCharType="begin"/>
            </w:r>
            <w:r>
              <w:instrText xml:space="preserve"> PAGEREF _Toc203825846 \h </w:instrText>
            </w:r>
            <w:r>
              <w:fldChar w:fldCharType="separate"/>
            </w:r>
            <w:r>
              <w:t>12</w:t>
            </w:r>
            <w:r>
              <w:fldChar w:fldCharType="end"/>
            </w:r>
          </w:hyperlink>
        </w:p>
        <w:p w14:paraId="44157BF2" w14:textId="77777777" w:rsidR="00BE70E2" w:rsidRDefault="00000000">
          <w:pPr>
            <w:pStyle w:val="TDC3"/>
            <w:tabs>
              <w:tab w:val="right" w:leader="dot" w:pos="9350"/>
            </w:tabs>
            <w:rPr>
              <w:kern w:val="2"/>
              <w:lang w:eastAsia="es-CO"/>
              <w14:ligatures w14:val="standardContextual"/>
            </w:rPr>
          </w:pPr>
          <w:hyperlink w:anchor="_Toc203825847" w:history="1">
            <w:r>
              <w:rPr>
                <w:rStyle w:val="Hipervnculo"/>
              </w:rPr>
              <w:t>3.1.4. Derechos adquiridos</w:t>
            </w:r>
            <w:r>
              <w:tab/>
            </w:r>
            <w:r>
              <w:fldChar w:fldCharType="begin"/>
            </w:r>
            <w:r>
              <w:instrText xml:space="preserve"> PAGEREF _Toc203825847 \h </w:instrText>
            </w:r>
            <w:r>
              <w:fldChar w:fldCharType="separate"/>
            </w:r>
            <w:r>
              <w:t>13</w:t>
            </w:r>
            <w:r>
              <w:fldChar w:fldCharType="end"/>
            </w:r>
          </w:hyperlink>
        </w:p>
        <w:p w14:paraId="0740C8B7" w14:textId="77777777" w:rsidR="00BE70E2" w:rsidRDefault="00000000">
          <w:pPr>
            <w:pStyle w:val="TDC3"/>
            <w:tabs>
              <w:tab w:val="right" w:leader="dot" w:pos="9350"/>
            </w:tabs>
            <w:rPr>
              <w:kern w:val="2"/>
              <w:lang w:eastAsia="es-CO"/>
              <w14:ligatures w14:val="standardContextual"/>
            </w:rPr>
          </w:pPr>
          <w:hyperlink w:anchor="_Toc203825848" w:history="1">
            <w:r>
              <w:rPr>
                <w:rStyle w:val="Hipervnculo"/>
              </w:rPr>
              <w:t>3.1.5. Baja natalidad</w:t>
            </w:r>
            <w:r>
              <w:tab/>
            </w:r>
            <w:r>
              <w:fldChar w:fldCharType="begin"/>
            </w:r>
            <w:r>
              <w:instrText xml:space="preserve"> PAGEREF _Toc203825848 \h </w:instrText>
            </w:r>
            <w:r>
              <w:fldChar w:fldCharType="separate"/>
            </w:r>
            <w:r>
              <w:t>13</w:t>
            </w:r>
            <w:r>
              <w:fldChar w:fldCharType="end"/>
            </w:r>
          </w:hyperlink>
        </w:p>
        <w:p w14:paraId="5B60B7C5" w14:textId="77777777" w:rsidR="00BE70E2" w:rsidRDefault="00000000">
          <w:pPr>
            <w:pStyle w:val="TDC2"/>
            <w:tabs>
              <w:tab w:val="right" w:leader="dot" w:pos="9350"/>
            </w:tabs>
            <w:rPr>
              <w:kern w:val="2"/>
              <w:lang w:eastAsia="es-CO"/>
              <w14:ligatures w14:val="standardContextual"/>
            </w:rPr>
          </w:pPr>
          <w:hyperlink w:anchor="_Toc203825849" w:history="1">
            <w:r>
              <w:rPr>
                <w:rStyle w:val="Hipervnculo"/>
                <w:lang w:eastAsia="en-US"/>
              </w:rPr>
              <w:t>3.2. Marco histórico</w:t>
            </w:r>
            <w:r>
              <w:tab/>
            </w:r>
            <w:r>
              <w:fldChar w:fldCharType="begin"/>
            </w:r>
            <w:r>
              <w:instrText xml:space="preserve"> PAGEREF _Toc203825849 \h </w:instrText>
            </w:r>
            <w:r>
              <w:fldChar w:fldCharType="separate"/>
            </w:r>
            <w:r>
              <w:t>13</w:t>
            </w:r>
            <w:r>
              <w:fldChar w:fldCharType="end"/>
            </w:r>
          </w:hyperlink>
        </w:p>
        <w:p w14:paraId="2876EF9D" w14:textId="77777777" w:rsidR="00BE70E2" w:rsidRDefault="00000000">
          <w:pPr>
            <w:pStyle w:val="TDC2"/>
            <w:tabs>
              <w:tab w:val="right" w:leader="dot" w:pos="9350"/>
            </w:tabs>
            <w:rPr>
              <w:kern w:val="2"/>
              <w:lang w:eastAsia="es-CO"/>
              <w14:ligatures w14:val="standardContextual"/>
            </w:rPr>
          </w:pPr>
          <w:hyperlink w:anchor="_Toc203825850" w:history="1">
            <w:r>
              <w:rPr>
                <w:rStyle w:val="Hipervnculo"/>
              </w:rPr>
              <w:t>3.3. Marco teórico</w:t>
            </w:r>
            <w:r>
              <w:tab/>
            </w:r>
            <w:r>
              <w:fldChar w:fldCharType="begin"/>
            </w:r>
            <w:r>
              <w:instrText xml:space="preserve"> PAGEREF _Toc203825850 \h </w:instrText>
            </w:r>
            <w:r>
              <w:fldChar w:fldCharType="separate"/>
            </w:r>
            <w:r>
              <w:t>16</w:t>
            </w:r>
            <w:r>
              <w:fldChar w:fldCharType="end"/>
            </w:r>
          </w:hyperlink>
        </w:p>
        <w:p w14:paraId="75D314DA" w14:textId="77777777" w:rsidR="00BE70E2" w:rsidRDefault="00000000">
          <w:pPr>
            <w:pStyle w:val="TDC2"/>
            <w:tabs>
              <w:tab w:val="right" w:leader="dot" w:pos="9350"/>
            </w:tabs>
            <w:rPr>
              <w:kern w:val="2"/>
              <w:lang w:eastAsia="es-CO"/>
              <w14:ligatures w14:val="standardContextual"/>
            </w:rPr>
          </w:pPr>
          <w:hyperlink w:anchor="_Toc203825851" w:history="1">
            <w:r>
              <w:rPr>
                <w:rStyle w:val="Hipervnculo"/>
              </w:rPr>
              <w:t>3.4. Marco jurídico</w:t>
            </w:r>
            <w:r>
              <w:tab/>
            </w:r>
            <w:r>
              <w:fldChar w:fldCharType="begin"/>
            </w:r>
            <w:r>
              <w:instrText xml:space="preserve"> PAGEREF _Toc203825851 \h </w:instrText>
            </w:r>
            <w:r>
              <w:fldChar w:fldCharType="separate"/>
            </w:r>
            <w:r>
              <w:t>19</w:t>
            </w:r>
            <w:r>
              <w:fldChar w:fldCharType="end"/>
            </w:r>
          </w:hyperlink>
        </w:p>
        <w:p w14:paraId="3DD3DF97" w14:textId="77777777" w:rsidR="00BE70E2" w:rsidRDefault="00000000">
          <w:pPr>
            <w:pStyle w:val="TDC3"/>
            <w:tabs>
              <w:tab w:val="right" w:leader="dot" w:pos="9350"/>
            </w:tabs>
            <w:rPr>
              <w:kern w:val="2"/>
              <w:lang w:eastAsia="es-CO"/>
              <w14:ligatures w14:val="standardContextual"/>
            </w:rPr>
          </w:pPr>
          <w:hyperlink w:anchor="_Toc203825852" w:history="1">
            <w:r>
              <w:rPr>
                <w:rStyle w:val="Hipervnculo"/>
              </w:rPr>
              <w:t>3.4.1. Constitución Política de Colombia de 1991</w:t>
            </w:r>
            <w:r>
              <w:tab/>
            </w:r>
            <w:r>
              <w:fldChar w:fldCharType="begin"/>
            </w:r>
            <w:r>
              <w:instrText xml:space="preserve"> PAGEREF _Toc203825852 \h </w:instrText>
            </w:r>
            <w:r>
              <w:fldChar w:fldCharType="separate"/>
            </w:r>
            <w:r>
              <w:t>19</w:t>
            </w:r>
            <w:r>
              <w:fldChar w:fldCharType="end"/>
            </w:r>
          </w:hyperlink>
        </w:p>
        <w:p w14:paraId="04356905" w14:textId="77777777" w:rsidR="00BE70E2" w:rsidRDefault="00000000">
          <w:pPr>
            <w:pStyle w:val="TDC3"/>
            <w:tabs>
              <w:tab w:val="right" w:leader="dot" w:pos="9350"/>
            </w:tabs>
            <w:rPr>
              <w:kern w:val="2"/>
              <w:lang w:eastAsia="es-CO"/>
              <w14:ligatures w14:val="standardContextual"/>
            </w:rPr>
          </w:pPr>
          <w:hyperlink w:anchor="_Toc203825853" w:history="1">
            <w:r>
              <w:rPr>
                <w:rStyle w:val="Hipervnculo"/>
              </w:rPr>
              <w:t>3.4.2. Ley 100 de 1993</w:t>
            </w:r>
            <w:r>
              <w:tab/>
            </w:r>
            <w:r>
              <w:fldChar w:fldCharType="begin"/>
            </w:r>
            <w:r>
              <w:instrText xml:space="preserve"> PAGEREF _Toc203825853 \h </w:instrText>
            </w:r>
            <w:r>
              <w:fldChar w:fldCharType="separate"/>
            </w:r>
            <w:r>
              <w:t>19</w:t>
            </w:r>
            <w:r>
              <w:fldChar w:fldCharType="end"/>
            </w:r>
          </w:hyperlink>
        </w:p>
        <w:p w14:paraId="100A8B08" w14:textId="77777777" w:rsidR="00BE70E2" w:rsidRDefault="00000000">
          <w:pPr>
            <w:pStyle w:val="TDC3"/>
            <w:tabs>
              <w:tab w:val="right" w:leader="dot" w:pos="9350"/>
            </w:tabs>
            <w:rPr>
              <w:kern w:val="2"/>
              <w:lang w:eastAsia="es-CO"/>
              <w14:ligatures w14:val="standardContextual"/>
            </w:rPr>
          </w:pPr>
          <w:hyperlink w:anchor="_Toc203825854" w:history="1">
            <w:r>
              <w:rPr>
                <w:rStyle w:val="Hipervnculo"/>
              </w:rPr>
              <w:t>3.4.3. Ley 797 de 2003</w:t>
            </w:r>
            <w:r>
              <w:tab/>
            </w:r>
            <w:r>
              <w:fldChar w:fldCharType="begin"/>
            </w:r>
            <w:r>
              <w:instrText xml:space="preserve"> PAGEREF _Toc203825854 \h </w:instrText>
            </w:r>
            <w:r>
              <w:fldChar w:fldCharType="separate"/>
            </w:r>
            <w:r>
              <w:t>19</w:t>
            </w:r>
            <w:r>
              <w:fldChar w:fldCharType="end"/>
            </w:r>
          </w:hyperlink>
        </w:p>
        <w:p w14:paraId="7F847DCE" w14:textId="77777777" w:rsidR="00BE70E2" w:rsidRDefault="00000000">
          <w:pPr>
            <w:pStyle w:val="TDC3"/>
            <w:tabs>
              <w:tab w:val="right" w:leader="dot" w:pos="9350"/>
            </w:tabs>
            <w:rPr>
              <w:kern w:val="2"/>
              <w:lang w:eastAsia="es-CO"/>
              <w14:ligatures w14:val="standardContextual"/>
            </w:rPr>
          </w:pPr>
          <w:hyperlink w:anchor="_Toc203825855" w:history="1">
            <w:r>
              <w:rPr>
                <w:rStyle w:val="Hipervnculo"/>
              </w:rPr>
              <w:t>3.4.4. Acto Legislativo 01 de 2005</w:t>
            </w:r>
            <w:r>
              <w:tab/>
            </w:r>
            <w:r>
              <w:fldChar w:fldCharType="begin"/>
            </w:r>
            <w:r>
              <w:instrText xml:space="preserve"> PAGEREF _Toc203825855 \h </w:instrText>
            </w:r>
            <w:r>
              <w:fldChar w:fldCharType="separate"/>
            </w:r>
            <w:r>
              <w:t>20</w:t>
            </w:r>
            <w:r>
              <w:fldChar w:fldCharType="end"/>
            </w:r>
          </w:hyperlink>
        </w:p>
        <w:p w14:paraId="18DB481E" w14:textId="77777777" w:rsidR="00BE70E2" w:rsidRDefault="00000000">
          <w:pPr>
            <w:pStyle w:val="TDC3"/>
            <w:tabs>
              <w:tab w:val="right" w:leader="dot" w:pos="9350"/>
            </w:tabs>
            <w:rPr>
              <w:kern w:val="2"/>
              <w:lang w:eastAsia="es-CO"/>
              <w14:ligatures w14:val="standardContextual"/>
            </w:rPr>
          </w:pPr>
          <w:hyperlink w:anchor="_Toc203825856" w:history="1">
            <w:r>
              <w:rPr>
                <w:rStyle w:val="Hipervnculo"/>
              </w:rPr>
              <w:t>3.4.5. Decreto 1833 de 2016</w:t>
            </w:r>
            <w:r>
              <w:tab/>
            </w:r>
            <w:r>
              <w:fldChar w:fldCharType="begin"/>
            </w:r>
            <w:r>
              <w:instrText xml:space="preserve"> PAGEREF _Toc203825856 \h </w:instrText>
            </w:r>
            <w:r>
              <w:fldChar w:fldCharType="separate"/>
            </w:r>
            <w:r>
              <w:t>20</w:t>
            </w:r>
            <w:r>
              <w:fldChar w:fldCharType="end"/>
            </w:r>
          </w:hyperlink>
        </w:p>
        <w:p w14:paraId="2F6A592D" w14:textId="77777777" w:rsidR="00BE70E2" w:rsidRDefault="00000000">
          <w:pPr>
            <w:pStyle w:val="TDC3"/>
            <w:tabs>
              <w:tab w:val="right" w:leader="dot" w:pos="9350"/>
            </w:tabs>
            <w:rPr>
              <w:kern w:val="2"/>
              <w:lang w:eastAsia="es-CO"/>
              <w14:ligatures w14:val="standardContextual"/>
            </w:rPr>
          </w:pPr>
          <w:hyperlink w:anchor="_Toc203825857" w:history="1">
            <w:r>
              <w:rPr>
                <w:rStyle w:val="Hipervnculo"/>
              </w:rPr>
              <w:t>3.4.6. Ley 2381 de 2024</w:t>
            </w:r>
            <w:r>
              <w:tab/>
            </w:r>
            <w:r>
              <w:fldChar w:fldCharType="begin"/>
            </w:r>
            <w:r>
              <w:instrText xml:space="preserve"> PAGEREF _Toc203825857 \h </w:instrText>
            </w:r>
            <w:r>
              <w:fldChar w:fldCharType="separate"/>
            </w:r>
            <w:r>
              <w:t>20</w:t>
            </w:r>
            <w:r>
              <w:fldChar w:fldCharType="end"/>
            </w:r>
          </w:hyperlink>
        </w:p>
        <w:p w14:paraId="1DEBE89E" w14:textId="77777777" w:rsidR="00BE70E2" w:rsidRDefault="00000000">
          <w:pPr>
            <w:pStyle w:val="TDC1"/>
            <w:tabs>
              <w:tab w:val="left" w:pos="1200"/>
              <w:tab w:val="right" w:leader="dot" w:pos="9350"/>
            </w:tabs>
            <w:rPr>
              <w:kern w:val="2"/>
              <w:lang w:eastAsia="es-CO"/>
              <w14:ligatures w14:val="standardContextual"/>
            </w:rPr>
          </w:pPr>
          <w:hyperlink w:anchor="_Toc203825858" w:history="1">
            <w:r>
              <w:rPr>
                <w:rStyle w:val="Hipervnculo"/>
              </w:rPr>
              <w:t>4.</w:t>
            </w:r>
            <w:r>
              <w:rPr>
                <w:kern w:val="2"/>
                <w:lang w:eastAsia="es-CO"/>
                <w14:ligatures w14:val="standardContextual"/>
              </w:rPr>
              <w:tab/>
            </w:r>
            <w:r>
              <w:rPr>
                <w:rStyle w:val="Hipervnculo"/>
              </w:rPr>
              <w:t>Diseño metodológico</w:t>
            </w:r>
            <w:r>
              <w:tab/>
            </w:r>
            <w:r>
              <w:fldChar w:fldCharType="begin"/>
            </w:r>
            <w:r>
              <w:instrText xml:space="preserve"> PAGEREF _Toc203825858 \h </w:instrText>
            </w:r>
            <w:r>
              <w:fldChar w:fldCharType="separate"/>
            </w:r>
            <w:r>
              <w:t>21</w:t>
            </w:r>
            <w:r>
              <w:fldChar w:fldCharType="end"/>
            </w:r>
          </w:hyperlink>
        </w:p>
        <w:p w14:paraId="7E47C3FF" w14:textId="77777777" w:rsidR="00BE70E2" w:rsidRDefault="00000000">
          <w:pPr>
            <w:pStyle w:val="TDC2"/>
            <w:tabs>
              <w:tab w:val="right" w:leader="dot" w:pos="9350"/>
            </w:tabs>
            <w:rPr>
              <w:kern w:val="2"/>
              <w:lang w:eastAsia="es-CO"/>
              <w14:ligatures w14:val="standardContextual"/>
            </w:rPr>
          </w:pPr>
          <w:hyperlink w:anchor="_Toc203825859" w:history="1">
            <w:r>
              <w:rPr>
                <w:rStyle w:val="Hipervnculo"/>
              </w:rPr>
              <w:t>4.1. Enfoque o paradigma</w:t>
            </w:r>
            <w:r>
              <w:tab/>
            </w:r>
            <w:r>
              <w:fldChar w:fldCharType="begin"/>
            </w:r>
            <w:r>
              <w:instrText xml:space="preserve"> PAGEREF _Toc203825859 \h </w:instrText>
            </w:r>
            <w:r>
              <w:fldChar w:fldCharType="separate"/>
            </w:r>
            <w:r>
              <w:t>21</w:t>
            </w:r>
            <w:r>
              <w:fldChar w:fldCharType="end"/>
            </w:r>
          </w:hyperlink>
        </w:p>
        <w:p w14:paraId="2236FC3C" w14:textId="77777777" w:rsidR="00BE70E2" w:rsidRDefault="00000000">
          <w:pPr>
            <w:pStyle w:val="TDC2"/>
            <w:tabs>
              <w:tab w:val="right" w:leader="dot" w:pos="9350"/>
            </w:tabs>
            <w:rPr>
              <w:kern w:val="2"/>
              <w:lang w:eastAsia="es-CO"/>
              <w14:ligatures w14:val="standardContextual"/>
            </w:rPr>
          </w:pPr>
          <w:hyperlink w:anchor="_Toc203825860" w:history="1">
            <w:r>
              <w:rPr>
                <w:rStyle w:val="Hipervnculo"/>
              </w:rPr>
              <w:t>4.2. Método</w:t>
            </w:r>
            <w:r>
              <w:tab/>
            </w:r>
            <w:r>
              <w:fldChar w:fldCharType="begin"/>
            </w:r>
            <w:r>
              <w:instrText xml:space="preserve"> PAGEREF _Toc203825860 \h </w:instrText>
            </w:r>
            <w:r>
              <w:fldChar w:fldCharType="separate"/>
            </w:r>
            <w:r>
              <w:t>21</w:t>
            </w:r>
            <w:r>
              <w:fldChar w:fldCharType="end"/>
            </w:r>
          </w:hyperlink>
        </w:p>
        <w:p w14:paraId="3277412C" w14:textId="77777777" w:rsidR="00BE70E2" w:rsidRDefault="00000000">
          <w:pPr>
            <w:pStyle w:val="TDC2"/>
            <w:tabs>
              <w:tab w:val="right" w:leader="dot" w:pos="9350"/>
            </w:tabs>
            <w:rPr>
              <w:kern w:val="2"/>
              <w:lang w:eastAsia="es-CO"/>
              <w14:ligatures w14:val="standardContextual"/>
            </w:rPr>
          </w:pPr>
          <w:hyperlink w:anchor="_Toc203825861" w:history="1">
            <w:r>
              <w:rPr>
                <w:rStyle w:val="Hipervnculo"/>
              </w:rPr>
              <w:t>4.3. Tipo de investigación</w:t>
            </w:r>
            <w:r>
              <w:tab/>
            </w:r>
            <w:r>
              <w:fldChar w:fldCharType="begin"/>
            </w:r>
            <w:r>
              <w:instrText xml:space="preserve"> PAGEREF _Toc203825861 \h </w:instrText>
            </w:r>
            <w:r>
              <w:fldChar w:fldCharType="separate"/>
            </w:r>
            <w:r>
              <w:t>22</w:t>
            </w:r>
            <w:r>
              <w:fldChar w:fldCharType="end"/>
            </w:r>
          </w:hyperlink>
        </w:p>
        <w:p w14:paraId="240BF161" w14:textId="77777777" w:rsidR="00BE70E2" w:rsidRDefault="00000000">
          <w:pPr>
            <w:pStyle w:val="TDC2"/>
            <w:tabs>
              <w:tab w:val="right" w:leader="dot" w:pos="9350"/>
            </w:tabs>
            <w:rPr>
              <w:kern w:val="2"/>
              <w:lang w:eastAsia="es-CO"/>
              <w14:ligatures w14:val="standardContextual"/>
            </w:rPr>
          </w:pPr>
          <w:hyperlink w:anchor="_Toc203825862" w:history="1">
            <w:r>
              <w:rPr>
                <w:rStyle w:val="Hipervnculo"/>
              </w:rPr>
              <w:t>4.4. Técnicas e instrumentos de recolección de datos</w:t>
            </w:r>
            <w:r>
              <w:tab/>
            </w:r>
            <w:r>
              <w:fldChar w:fldCharType="begin"/>
            </w:r>
            <w:r>
              <w:instrText xml:space="preserve"> PAGEREF _Toc203825862 \h </w:instrText>
            </w:r>
            <w:r>
              <w:fldChar w:fldCharType="separate"/>
            </w:r>
            <w:r>
              <w:t>22</w:t>
            </w:r>
            <w:r>
              <w:fldChar w:fldCharType="end"/>
            </w:r>
          </w:hyperlink>
        </w:p>
        <w:p w14:paraId="7937D925" w14:textId="77777777" w:rsidR="00BE70E2" w:rsidRDefault="00000000">
          <w:pPr>
            <w:pStyle w:val="TDC1"/>
            <w:tabs>
              <w:tab w:val="right" w:leader="dot" w:pos="9350"/>
            </w:tabs>
            <w:rPr>
              <w:kern w:val="2"/>
              <w:lang w:eastAsia="es-CO"/>
              <w14:ligatures w14:val="standardContextual"/>
            </w:rPr>
          </w:pPr>
          <w:hyperlink w:anchor="_Toc203825863" w:history="1">
            <w:r>
              <w:rPr>
                <w:rStyle w:val="Hipervnculo"/>
              </w:rPr>
              <w:t>Capítulo 1. La reforma pensional en los trabajadores actuales y las futuras generaciones</w:t>
            </w:r>
            <w:r>
              <w:tab/>
            </w:r>
            <w:r>
              <w:fldChar w:fldCharType="begin"/>
            </w:r>
            <w:r>
              <w:instrText xml:space="preserve"> PAGEREF _Toc203825863 \h </w:instrText>
            </w:r>
            <w:r>
              <w:fldChar w:fldCharType="separate"/>
            </w:r>
            <w:r>
              <w:t>23</w:t>
            </w:r>
            <w:r>
              <w:fldChar w:fldCharType="end"/>
            </w:r>
          </w:hyperlink>
        </w:p>
        <w:p w14:paraId="6E926882" w14:textId="77777777" w:rsidR="00BE70E2" w:rsidRDefault="00000000">
          <w:pPr>
            <w:pStyle w:val="TDC2"/>
            <w:tabs>
              <w:tab w:val="right" w:leader="dot" w:pos="9350"/>
            </w:tabs>
            <w:rPr>
              <w:kern w:val="2"/>
              <w:lang w:eastAsia="es-CO"/>
              <w14:ligatures w14:val="standardContextual"/>
            </w:rPr>
          </w:pPr>
          <w:hyperlink w:anchor="_Toc203825864" w:history="1">
            <w:r>
              <w:rPr>
                <w:rStyle w:val="Hipervnculo"/>
              </w:rPr>
              <w:t>5.2. Ley 2381 y sus modificaciones al régimen pensional</w:t>
            </w:r>
            <w:r>
              <w:tab/>
            </w:r>
            <w:r>
              <w:fldChar w:fldCharType="begin"/>
            </w:r>
            <w:r>
              <w:instrText xml:space="preserve"> PAGEREF _Toc203825864 \h </w:instrText>
            </w:r>
            <w:r>
              <w:fldChar w:fldCharType="separate"/>
            </w:r>
            <w:r>
              <w:t>25</w:t>
            </w:r>
            <w:r>
              <w:fldChar w:fldCharType="end"/>
            </w:r>
          </w:hyperlink>
        </w:p>
        <w:p w14:paraId="01C03E0A" w14:textId="77777777" w:rsidR="00BE70E2" w:rsidRDefault="00000000">
          <w:pPr>
            <w:pStyle w:val="TDC1"/>
            <w:tabs>
              <w:tab w:val="right" w:leader="dot" w:pos="9350"/>
            </w:tabs>
            <w:rPr>
              <w:kern w:val="2"/>
              <w:lang w:eastAsia="es-CO"/>
              <w14:ligatures w14:val="standardContextual"/>
            </w:rPr>
          </w:pPr>
          <w:hyperlink w:anchor="_Toc203825865" w:history="1">
            <w:r>
              <w:rPr>
                <w:rStyle w:val="Hipervnculo"/>
              </w:rPr>
              <w:t>Capítulo 2. Ley 2381 de 2024: análisis desde la sostenibilidad financiera del sistema pensional colombiano</w:t>
            </w:r>
            <w:r>
              <w:tab/>
            </w:r>
            <w:r>
              <w:fldChar w:fldCharType="begin"/>
            </w:r>
            <w:r>
              <w:instrText xml:space="preserve"> PAGEREF _Toc203825865 \h </w:instrText>
            </w:r>
            <w:r>
              <w:fldChar w:fldCharType="separate"/>
            </w:r>
            <w:r>
              <w:t>32</w:t>
            </w:r>
            <w:r>
              <w:fldChar w:fldCharType="end"/>
            </w:r>
          </w:hyperlink>
        </w:p>
        <w:p w14:paraId="4718AE05" w14:textId="77777777" w:rsidR="00BE70E2" w:rsidRDefault="00000000">
          <w:pPr>
            <w:pStyle w:val="TDC1"/>
            <w:tabs>
              <w:tab w:val="right" w:leader="dot" w:pos="9350"/>
            </w:tabs>
            <w:rPr>
              <w:kern w:val="2"/>
              <w:lang w:eastAsia="es-CO"/>
              <w14:ligatures w14:val="standardContextual"/>
            </w:rPr>
          </w:pPr>
          <w:hyperlink w:anchor="_Toc203825866" w:history="1">
            <w:r>
              <w:rPr>
                <w:rStyle w:val="Hipervnculo"/>
              </w:rPr>
              <w:t>Capítulo 3. Retos que enfrenta la reforma sobre los principios constitucionales de solidaridad y protección de derechos adquiridos</w:t>
            </w:r>
            <w:r>
              <w:tab/>
            </w:r>
            <w:r>
              <w:fldChar w:fldCharType="begin"/>
            </w:r>
            <w:r>
              <w:instrText xml:space="preserve"> PAGEREF _Toc203825866 \h </w:instrText>
            </w:r>
            <w:r>
              <w:fldChar w:fldCharType="separate"/>
            </w:r>
            <w:r>
              <w:t>41</w:t>
            </w:r>
            <w:r>
              <w:fldChar w:fldCharType="end"/>
            </w:r>
          </w:hyperlink>
        </w:p>
        <w:p w14:paraId="18D8CBFD" w14:textId="77777777" w:rsidR="00BE70E2" w:rsidRDefault="00000000">
          <w:pPr>
            <w:pStyle w:val="TDC2"/>
            <w:tabs>
              <w:tab w:val="right" w:leader="dot" w:pos="9350"/>
            </w:tabs>
            <w:rPr>
              <w:kern w:val="2"/>
              <w:lang w:eastAsia="es-CO"/>
              <w14:ligatures w14:val="standardContextual"/>
            </w:rPr>
          </w:pPr>
          <w:hyperlink w:anchor="_Toc203825867" w:history="1">
            <w:r>
              <w:rPr>
                <w:rStyle w:val="Hipervnculo"/>
              </w:rPr>
              <w:t>7.1. El Principio Constitucional de Solidaridad en el Sistema Pensional</w:t>
            </w:r>
            <w:r>
              <w:tab/>
            </w:r>
            <w:r>
              <w:fldChar w:fldCharType="begin"/>
            </w:r>
            <w:r>
              <w:instrText xml:space="preserve"> PAGEREF _Toc203825867 \h </w:instrText>
            </w:r>
            <w:r>
              <w:fldChar w:fldCharType="separate"/>
            </w:r>
            <w:r>
              <w:t>41</w:t>
            </w:r>
            <w:r>
              <w:fldChar w:fldCharType="end"/>
            </w:r>
          </w:hyperlink>
        </w:p>
        <w:p w14:paraId="50166F0B" w14:textId="77777777" w:rsidR="00BE70E2" w:rsidRDefault="00000000">
          <w:pPr>
            <w:pStyle w:val="TDC2"/>
            <w:tabs>
              <w:tab w:val="right" w:leader="dot" w:pos="9350"/>
            </w:tabs>
            <w:rPr>
              <w:kern w:val="2"/>
              <w:lang w:eastAsia="es-CO"/>
              <w14:ligatures w14:val="standardContextual"/>
            </w:rPr>
          </w:pPr>
          <w:hyperlink w:anchor="_Toc203825868" w:history="1">
            <w:r>
              <w:rPr>
                <w:rStyle w:val="Hipervnculo"/>
              </w:rPr>
              <w:t>7.2. Análisis de la Pensión Anticipada de Vejez y su Relación con los Derechos Adquiridos</w:t>
            </w:r>
            <w:r>
              <w:tab/>
            </w:r>
            <w:r>
              <w:fldChar w:fldCharType="begin"/>
            </w:r>
            <w:r>
              <w:instrText xml:space="preserve"> PAGEREF _Toc203825868 \h </w:instrText>
            </w:r>
            <w:r>
              <w:fldChar w:fldCharType="separate"/>
            </w:r>
            <w:r>
              <w:t>44</w:t>
            </w:r>
            <w:r>
              <w:fldChar w:fldCharType="end"/>
            </w:r>
          </w:hyperlink>
        </w:p>
        <w:p w14:paraId="07AED370" w14:textId="77777777" w:rsidR="00BE70E2" w:rsidRDefault="00000000">
          <w:pPr>
            <w:pStyle w:val="TDC1"/>
            <w:tabs>
              <w:tab w:val="left" w:pos="1200"/>
              <w:tab w:val="right" w:leader="dot" w:pos="9350"/>
            </w:tabs>
            <w:rPr>
              <w:kern w:val="2"/>
              <w:lang w:eastAsia="es-CO"/>
              <w14:ligatures w14:val="standardContextual"/>
            </w:rPr>
          </w:pPr>
          <w:hyperlink w:anchor="_Toc203825869" w:history="1">
            <w:r>
              <w:rPr>
                <w:rStyle w:val="Hipervnculo"/>
              </w:rPr>
              <w:t>5.</w:t>
            </w:r>
            <w:r>
              <w:rPr>
                <w:kern w:val="2"/>
                <w:lang w:eastAsia="es-CO"/>
                <w14:ligatures w14:val="standardContextual"/>
              </w:rPr>
              <w:tab/>
            </w:r>
            <w:r>
              <w:rPr>
                <w:rStyle w:val="Hipervnculo"/>
              </w:rPr>
              <w:t>Resultados de la investigación</w:t>
            </w:r>
            <w:r>
              <w:tab/>
            </w:r>
            <w:r>
              <w:fldChar w:fldCharType="begin"/>
            </w:r>
            <w:r>
              <w:instrText xml:space="preserve"> PAGEREF _Toc203825869 \h </w:instrText>
            </w:r>
            <w:r>
              <w:fldChar w:fldCharType="separate"/>
            </w:r>
            <w:r>
              <w:t>49</w:t>
            </w:r>
            <w:r>
              <w:fldChar w:fldCharType="end"/>
            </w:r>
          </w:hyperlink>
        </w:p>
        <w:p w14:paraId="58F22C61" w14:textId="77777777" w:rsidR="00BE70E2" w:rsidRDefault="00000000">
          <w:pPr>
            <w:pStyle w:val="TDC1"/>
            <w:tabs>
              <w:tab w:val="right" w:leader="dot" w:pos="9350"/>
            </w:tabs>
            <w:rPr>
              <w:kern w:val="2"/>
              <w:lang w:eastAsia="es-CO"/>
              <w14:ligatures w14:val="standardContextual"/>
            </w:rPr>
          </w:pPr>
          <w:hyperlink w:anchor="_Toc203825870" w:history="1">
            <w:r>
              <w:rPr>
                <w:rStyle w:val="Hipervnculo"/>
              </w:rPr>
              <w:t>9. Conclusiones</w:t>
            </w:r>
            <w:r>
              <w:tab/>
            </w:r>
            <w:r>
              <w:fldChar w:fldCharType="begin"/>
            </w:r>
            <w:r>
              <w:instrText xml:space="preserve"> PAGEREF _Toc203825870 \h </w:instrText>
            </w:r>
            <w:r>
              <w:fldChar w:fldCharType="separate"/>
            </w:r>
            <w:r>
              <w:t>53</w:t>
            </w:r>
            <w:r>
              <w:fldChar w:fldCharType="end"/>
            </w:r>
          </w:hyperlink>
        </w:p>
        <w:p w14:paraId="5D9D6405" w14:textId="77777777" w:rsidR="00BE70E2" w:rsidRDefault="00000000">
          <w:pPr>
            <w:pStyle w:val="TDC1"/>
            <w:tabs>
              <w:tab w:val="left" w:pos="1200"/>
              <w:tab w:val="right" w:leader="dot" w:pos="9350"/>
            </w:tabs>
            <w:rPr>
              <w:kern w:val="2"/>
              <w:lang w:eastAsia="es-CO"/>
              <w14:ligatures w14:val="standardContextual"/>
            </w:rPr>
          </w:pPr>
          <w:hyperlink w:anchor="_Toc203825871" w:history="1">
            <w:r>
              <w:rPr>
                <w:rStyle w:val="Hipervnculo"/>
              </w:rPr>
              <w:t>7.</w:t>
            </w:r>
            <w:r>
              <w:rPr>
                <w:kern w:val="2"/>
                <w:lang w:eastAsia="es-CO"/>
                <w14:ligatures w14:val="standardContextual"/>
              </w:rPr>
              <w:tab/>
            </w:r>
            <w:r>
              <w:rPr>
                <w:rStyle w:val="Hipervnculo"/>
              </w:rPr>
              <w:t xml:space="preserve"> Referencias</w:t>
            </w:r>
            <w:r>
              <w:tab/>
            </w:r>
            <w:r>
              <w:fldChar w:fldCharType="begin"/>
            </w:r>
            <w:r>
              <w:instrText xml:space="preserve"> PAGEREF _Toc203825871 \h </w:instrText>
            </w:r>
            <w:r>
              <w:fldChar w:fldCharType="separate"/>
            </w:r>
            <w:r>
              <w:t>55</w:t>
            </w:r>
            <w:r>
              <w:fldChar w:fldCharType="end"/>
            </w:r>
          </w:hyperlink>
        </w:p>
        <w:p w14:paraId="7A130B66" w14:textId="77777777" w:rsidR="00BE70E2" w:rsidRDefault="00000000">
          <w:pPr>
            <w:spacing w:line="360" w:lineRule="auto"/>
            <w:rPr>
              <w:bCs/>
              <w:lang w:val="es-ES"/>
            </w:rPr>
          </w:pPr>
          <w:r>
            <w:rPr>
              <w:b/>
              <w:bCs/>
              <w:lang w:val="es-ES"/>
            </w:rPr>
            <w:fldChar w:fldCharType="end"/>
          </w:r>
        </w:p>
      </w:sdtContent>
    </w:sdt>
    <w:p w14:paraId="47A9445C" w14:textId="77777777" w:rsidR="00BE70E2" w:rsidRDefault="00BE70E2">
      <w:pPr>
        <w:spacing w:line="360" w:lineRule="auto"/>
        <w:rPr>
          <w:bCs/>
          <w:lang w:val="es-ES"/>
        </w:rPr>
      </w:pPr>
    </w:p>
    <w:p w14:paraId="43B06473" w14:textId="77777777" w:rsidR="00BE70E2" w:rsidRDefault="00000000">
      <w:pPr>
        <w:pStyle w:val="Ttulo1"/>
        <w:spacing w:before="240"/>
      </w:pPr>
      <w:bookmarkStart w:id="1" w:name="_Toc203825838"/>
      <w:r>
        <w:t>Lista de tablas</w:t>
      </w:r>
      <w:bookmarkEnd w:id="1"/>
    </w:p>
    <w:p w14:paraId="610A6040" w14:textId="77777777" w:rsidR="00BE70E2" w:rsidRDefault="00000000">
      <w:pPr>
        <w:pStyle w:val="Tabladeilustraciones"/>
        <w:tabs>
          <w:tab w:val="right" w:leader="dot" w:pos="9350"/>
        </w:tabs>
        <w:spacing w:before="240"/>
        <w:rPr>
          <w:kern w:val="2"/>
          <w:lang w:eastAsia="es-CO"/>
          <w14:ligatures w14:val="standardContextual"/>
        </w:rPr>
      </w:pPr>
      <w:r>
        <w:fldChar w:fldCharType="begin"/>
      </w:r>
      <w:r>
        <w:instrText xml:space="preserve"> TOC \h \z \c "Tabla" </w:instrText>
      </w:r>
      <w:r>
        <w:fldChar w:fldCharType="separate"/>
      </w:r>
      <w:hyperlink w:anchor="_Toc198910476" w:history="1">
        <w:r>
          <w:rPr>
            <w:rStyle w:val="Hipervnculo"/>
          </w:rPr>
          <w:t>Tabla 1</w:t>
        </w:r>
        <w:r>
          <w:rPr>
            <w:rStyle w:val="Hipervnculo"/>
            <w:rFonts w:ascii="Times New Roman" w:eastAsia="Google Sans" w:hAnsi="Times New Roman" w:cs="Times New Roman"/>
          </w:rPr>
          <w:t>: Criterios del Régimen de Transición (Ley 2381 de 2024)</w:t>
        </w:r>
        <w:r>
          <w:tab/>
        </w:r>
        <w:r>
          <w:fldChar w:fldCharType="begin"/>
        </w:r>
        <w:r>
          <w:instrText xml:space="preserve"> PAGEREF _Toc198910476 \h </w:instrText>
        </w:r>
        <w:r>
          <w:fldChar w:fldCharType="separate"/>
        </w:r>
        <w:r>
          <w:t>24</w:t>
        </w:r>
        <w:r>
          <w:fldChar w:fldCharType="end"/>
        </w:r>
      </w:hyperlink>
    </w:p>
    <w:p w14:paraId="661B543C" w14:textId="77777777" w:rsidR="00BE70E2" w:rsidRDefault="00000000">
      <w:pPr>
        <w:pStyle w:val="Tabladeilustraciones"/>
        <w:tabs>
          <w:tab w:val="right" w:leader="dot" w:pos="9350"/>
        </w:tabs>
        <w:rPr>
          <w:kern w:val="2"/>
          <w:lang w:eastAsia="es-CO"/>
          <w14:ligatures w14:val="standardContextual"/>
        </w:rPr>
      </w:pPr>
      <w:hyperlink w:anchor="_Toc198910477" w:history="1">
        <w:r>
          <w:rPr>
            <w:rStyle w:val="Hipervnculo"/>
            <w:rFonts w:ascii="Times New Roman" w:eastAsia="Google Sans" w:hAnsi="Times New Roman" w:cs="Times New Roman"/>
          </w:rPr>
          <w:t>Tabla</w:t>
        </w:r>
        <w:r>
          <w:rPr>
            <w:rStyle w:val="Hipervnculo"/>
          </w:rPr>
          <w:t xml:space="preserve"> 2</w:t>
        </w:r>
        <w:r>
          <w:rPr>
            <w:rStyle w:val="Hipervnculo"/>
            <w:rFonts w:ascii="Times New Roman" w:eastAsia="Google Sans" w:hAnsi="Times New Roman" w:cs="Times New Roman"/>
          </w:rPr>
          <w:t>: Estructura y Beneficiarios del Sistema de Pilares (Ley 2381 de 2024)</w:t>
        </w:r>
        <w:r>
          <w:tab/>
        </w:r>
        <w:r>
          <w:fldChar w:fldCharType="begin"/>
        </w:r>
        <w:r>
          <w:instrText xml:space="preserve"> PAGEREF _Toc198910477 \h </w:instrText>
        </w:r>
        <w:r>
          <w:fldChar w:fldCharType="separate"/>
        </w:r>
        <w:r>
          <w:t>29</w:t>
        </w:r>
        <w:r>
          <w:fldChar w:fldCharType="end"/>
        </w:r>
      </w:hyperlink>
    </w:p>
    <w:p w14:paraId="417B6B99" w14:textId="77777777" w:rsidR="00BE70E2" w:rsidRDefault="00000000">
      <w:pPr>
        <w:pStyle w:val="Tabladeilustraciones"/>
        <w:tabs>
          <w:tab w:val="right" w:leader="dot" w:pos="9350"/>
        </w:tabs>
        <w:rPr>
          <w:kern w:val="2"/>
          <w:lang w:eastAsia="es-CO"/>
          <w14:ligatures w14:val="standardContextual"/>
        </w:rPr>
      </w:pPr>
      <w:hyperlink w:anchor="_Toc198910478" w:history="1">
        <w:r>
          <w:rPr>
            <w:rStyle w:val="Hipervnculo"/>
          </w:rPr>
          <w:t>Tabla 3.</w:t>
        </w:r>
        <w:r>
          <w:rPr>
            <w:rStyle w:val="Hipervnculo"/>
            <w:rFonts w:ascii="Times New Roman" w:eastAsia="Google Sans Text" w:hAnsi="Times New Roman" w:cs="Times New Roman"/>
          </w:rPr>
          <w:t xml:space="preserve"> Comparativa de Aportes al Fondo de Solidaridad Pensional (Antes y Después de Ley 2381 de 2024)</w:t>
        </w:r>
        <w:r>
          <w:tab/>
        </w:r>
        <w:r>
          <w:fldChar w:fldCharType="begin"/>
        </w:r>
        <w:r>
          <w:instrText xml:space="preserve"> PAGEREF _Toc198910478 \h </w:instrText>
        </w:r>
        <w:r>
          <w:fldChar w:fldCharType="separate"/>
        </w:r>
        <w:r>
          <w:t>43</w:t>
        </w:r>
        <w:r>
          <w:fldChar w:fldCharType="end"/>
        </w:r>
      </w:hyperlink>
    </w:p>
    <w:p w14:paraId="36DB9257" w14:textId="77777777" w:rsidR="00BE70E2" w:rsidRDefault="00000000">
      <w:pPr>
        <w:pStyle w:val="Tabladeilustraciones"/>
        <w:tabs>
          <w:tab w:val="right" w:leader="dot" w:pos="9350"/>
        </w:tabs>
        <w:rPr>
          <w:kern w:val="2"/>
          <w:lang w:eastAsia="es-CO"/>
          <w14:ligatures w14:val="standardContextual"/>
        </w:rPr>
      </w:pPr>
      <w:hyperlink w:anchor="_Toc198910479" w:history="1">
        <w:r>
          <w:rPr>
            <w:rStyle w:val="Hipervnculo"/>
          </w:rPr>
          <w:t>Tabla 4.</w:t>
        </w:r>
        <w:r>
          <w:rPr>
            <w:rStyle w:val="Hipervnculo"/>
            <w:rFonts w:ascii="Times New Roman" w:eastAsia="Google Sans" w:hAnsi="Times New Roman" w:cs="Times New Roman"/>
          </w:rPr>
          <w:t xml:space="preserve"> Requisitos Clave para Acceso a Prestaciones de Vejez (Ley 2381 de 2024)</w:t>
        </w:r>
        <w:r>
          <w:tab/>
        </w:r>
        <w:r>
          <w:fldChar w:fldCharType="begin"/>
        </w:r>
        <w:r>
          <w:instrText xml:space="preserve"> PAGEREF _Toc198910479 \h </w:instrText>
        </w:r>
        <w:r>
          <w:fldChar w:fldCharType="separate"/>
        </w:r>
        <w:r>
          <w:t>46</w:t>
        </w:r>
        <w:r>
          <w:fldChar w:fldCharType="end"/>
        </w:r>
      </w:hyperlink>
    </w:p>
    <w:p w14:paraId="2089F191" w14:textId="77777777" w:rsidR="00BE70E2" w:rsidRDefault="00000000">
      <w:pPr>
        <w:pStyle w:val="Ttulo1"/>
        <w:rPr>
          <w:b w:val="0"/>
          <w:bCs w:val="0"/>
        </w:rPr>
      </w:pPr>
      <w:r>
        <w:rPr>
          <w:rFonts w:asciiTheme="minorHAnsi" w:eastAsiaTheme="minorEastAsia" w:hAnsiTheme="minorHAnsi" w:cstheme="minorBidi"/>
          <w:b w:val="0"/>
          <w:bCs w:val="0"/>
        </w:rPr>
        <w:fldChar w:fldCharType="end"/>
      </w:r>
    </w:p>
    <w:p w14:paraId="670518F9" w14:textId="77777777" w:rsidR="00BE70E2" w:rsidRDefault="00000000">
      <w:pPr>
        <w:pStyle w:val="Ttulo1"/>
      </w:pPr>
      <w:r>
        <w:br w:type="column"/>
      </w:r>
      <w:bookmarkStart w:id="2" w:name="_Toc203825839"/>
      <w:r>
        <w:lastRenderedPageBreak/>
        <w:t>Introducción</w:t>
      </w:r>
      <w:bookmarkEnd w:id="2"/>
    </w:p>
    <w:p w14:paraId="499BE55E" w14:textId="77777777" w:rsidR="00BE70E2" w:rsidRDefault="00000000">
      <w:r>
        <w:t>La reforma pensional adoptada en Colombia mediante la Ley 2381 de 2024 ha generado un profundo debate jurídico, económico y social. Aunque su propósito es ampliar la cobertura del sistema de pensiones y garantizar una mayor equidad mediante un modelo de cuatro pilares (Solidario, Semicontributivo, Contributivo y de Ahorro Voluntario), su implementación plantea serias dudas sobre la sostenibilidad financiera del sistema y la equidad intergeneracional. En un país con alta informalidad laboral, envejecimiento poblacional y una base débil de cotizantes, las promesas de la reforma podrían verse limitadas por realidades fiscales y estructurales que amenazan con desbordar la capacidad del Estado para garantizar pensiones dignas a largo plazo.</w:t>
      </w:r>
    </w:p>
    <w:p w14:paraId="7CBB29FA" w14:textId="77777777" w:rsidR="00BE70E2" w:rsidRDefault="00000000">
      <w:r>
        <w:t>A partir de este contexto, surge el problema central que guía esta investigación: ¿cuáles son las consecuencias jurídicas, económicas y sociales de la reforma pensional en Colombia, particularmente en lo que respecta a la sostenibilidad financiera del sistema y la equidad para las futuras generaciones? La reforma, pese a sus fines loables, podría profundizar el déficit fiscal y restringir el acceso a pensiones adecuadas si no se acompaña de reformas laborales y tributarias estructurales que garanticen una base amplia y sostenible de aportantes.</w:t>
      </w:r>
    </w:p>
    <w:p w14:paraId="33464C10" w14:textId="77777777" w:rsidR="00BE70E2" w:rsidRDefault="00000000">
      <w:r>
        <w:t>Este trabajo tiene como objetivo general evaluar las consecuencias jurídicas a largo plazo de la reforma pensional a la luz del principio de sostenibilidad financiera y la equidad intergeneracional. Entre sus objetivos específicos se encuentran: analizar el impacto socioeconómico de la Ley 2381 de 2024 sobre los trabajadores actuales y las generaciones futuras; examinar su conformidad con los principios constitucionales de progresividad, solidaridad y derechos adquiridos; y valorar su viabilidad desde una perspectiva fiscal.</w:t>
      </w:r>
    </w:p>
    <w:p w14:paraId="2AE0DF8D" w14:textId="77777777" w:rsidR="00BE70E2" w:rsidRDefault="00000000">
      <w:r>
        <w:lastRenderedPageBreak/>
        <w:t xml:space="preserve">Desde el punto de vista metodológico, se adoptó un enfoque cualitativo, de tipo descriptivo-exploratorio, utilizando el método interpretativo-analítico. La técnica principal de recolección de información es el análisis documental, que permite contrastar la nueva normatividad con el marco constitucional, la jurisprudencia y los estudios técnicos sobre sostenibilidad y cobertura pensional. Asimismo, el método aplicable a este proyecto será el interpretativo-analítico, ya que a través de este proceso se dará respuesta a los interrogantes propuestos sobre las consecuencias jurídicas y socioeconómicas de la reforma pensional. </w:t>
      </w:r>
    </w:p>
    <w:p w14:paraId="0FECE09E" w14:textId="77777777" w:rsidR="00BE70E2" w:rsidRDefault="00BE70E2"/>
    <w:p w14:paraId="0D71D050" w14:textId="77777777" w:rsidR="00BE70E2" w:rsidRDefault="00BE70E2">
      <w:pPr>
        <w:ind w:firstLine="0"/>
      </w:pPr>
    </w:p>
    <w:p w14:paraId="62514867" w14:textId="77777777" w:rsidR="00BE70E2" w:rsidRDefault="00BE70E2"/>
    <w:p w14:paraId="63539239" w14:textId="77777777" w:rsidR="00BE70E2" w:rsidRDefault="00BE70E2"/>
    <w:p w14:paraId="181D89BF" w14:textId="77777777" w:rsidR="00BE70E2" w:rsidRDefault="00000000">
      <w:pPr>
        <w:pStyle w:val="Ttulo1"/>
        <w:numPr>
          <w:ilvl w:val="0"/>
          <w:numId w:val="11"/>
        </w:numPr>
      </w:pPr>
      <w:r>
        <w:br w:type="column"/>
      </w:r>
      <w:bookmarkStart w:id="3" w:name="_Toc203825840"/>
      <w:r>
        <w:lastRenderedPageBreak/>
        <w:t>Planteamiento del problema</w:t>
      </w:r>
      <w:bookmarkEnd w:id="3"/>
    </w:p>
    <w:p w14:paraId="403A3396" w14:textId="77777777" w:rsidR="00BE70E2" w:rsidRDefault="00000000">
      <w:pPr>
        <w:spacing w:after="0"/>
      </w:pPr>
      <w:bookmarkStart w:id="4" w:name="_Hlk105339942"/>
      <w:r>
        <w:t xml:space="preserve">El sistema pensional colombiano ha enfrentado históricamente desafíos estructurales relacionados con la sostenibilidad financiera, la cobertura poblacional y la equidad social, los cuales se han acentuado con el paso del tiempo, debido a fenómenos como el envejecimiento poblacional, la alta informalidad laboral y las desigualdades económicas entre regiones. En respuesta a esta compleja realidad se aprobó en julio de 2024 la Ley 2381, que establece un nuevo modelo pensional basado en cuatro pilares: Solidario, Semi-contributivo, Contributivo y Voluntario </w:t>
      </w:r>
      <w:sdt>
        <w:sdtPr>
          <w:rPr>
            <w:color w:val="000000"/>
          </w:rPr>
          <w:tag w:val="MENDELEY_CITATION_v3_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"/>
          <w:id w:val="-637332858"/>
          <w:placeholder>
            <w:docPart w:val="DefaultPlaceholder_-1854013440"/>
          </w:placeholder>
        </w:sdtPr>
        <w:sdtContent>
          <w:r>
            <w:rPr>
              <w:color w:val="000000"/>
            </w:rPr>
            <w:t>(Ruiz, 2025)</w:t>
          </w:r>
        </w:sdtContent>
      </w:sdt>
      <w:r>
        <w:t>, teniendo como objetivo ampliar la cobertura, fortalecer la protección social y garantizar un sistema más justo, particularmente para los sectores más vulnerables de la población.</w:t>
      </w:r>
    </w:p>
    <w:p w14:paraId="13D9DB1C" w14:textId="77777777" w:rsidR="00BE70E2" w:rsidRDefault="00000000">
      <w:r>
        <w:t xml:space="preserve">No obstante, a pesar de sus fines loables, la reforma ha suscitado una serie de cuestionamientos sobre las consecuencias a largo plazo en términos de sostenibilidad financiera y equidad intergeneracional, uno de los puntos más debatidos gira en torno a la solidez del Pilar Contributivo, que articula el régimen de Prima Media administrado por Colpensiones y el régimen de Ahorro Individual gestionado por fondos privados. Según </w:t>
      </w:r>
      <w:sdt>
        <w:sdtPr>
          <w:rPr>
            <w:color w:val="000000"/>
          </w:rPr>
          <w:tag w:val="MENDELEY_CITATION_v3_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"/>
          <w:id w:val="1506708816"/>
          <w:placeholder>
            <w:docPart w:val="DefaultPlaceholder_-1854013440"/>
          </w:placeholder>
        </w:sdtPr>
        <w:sdtContent>
          <w:r>
            <w:rPr>
              <w:color w:val="000000"/>
            </w:rPr>
            <w:t>Otero (2024)</w:t>
          </w:r>
        </w:sdtContent>
      </w:sdt>
      <w:r>
        <w:t>, aunque se busca beneficiar a quienes ganan entre uno y 2,3 salarios mínimos mediante el traslado de sus aportes al fondo público, existe una creciente preocupación sobre la viabilidad de financiar las pensiones futuras sin generar un déficit fiscal significativo.</w:t>
      </w:r>
    </w:p>
    <w:p w14:paraId="27B77DF1" w14:textId="77777777" w:rsidR="00BE70E2" w:rsidRDefault="00000000">
      <w:r>
        <w:t xml:space="preserve">A esto se suma el fenómeno del envejecimiento poblacional, dado que mencionan </w:t>
      </w:r>
      <w:sdt>
        <w:sdtPr>
          <w:rPr>
            <w:color w:val="000000"/>
          </w:rPr>
          <w:tag w:val="MENDELEY_CITATION_v3_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"/>
          <w:id w:val="-1675332204"/>
          <w:placeholder>
            <w:docPart w:val="DefaultPlaceholder_-1854013440"/>
          </w:placeholder>
        </w:sdtPr>
        <w:sdtEndPr>
          <w:rPr>
            <w:highlight w:val="yellow"/>
          </w:rPr>
        </w:sdtEndPr>
        <w:sdtContent>
          <w:r>
            <w:rPr>
              <w:rFonts w:eastAsia="Times New Roman"/>
              <w:color w:val="000000"/>
            </w:rPr>
            <w:t>Arias &amp; Parra (2021)</w:t>
          </w:r>
        </w:sdtContent>
      </w:sdt>
      <w:r>
        <w:rPr>
          <w:color w:val="000000"/>
        </w:rPr>
        <w:t xml:space="preserve"> que</w:t>
      </w:r>
      <w:r>
        <w:t xml:space="preserve"> el 12% de la población colombiana tiene actualmente más de 60 años, cifra que ascenderá al 30% para el año 2060, lo cual pone un reto estructural, pues mientras el número de pensionados aumentará considerablemente, la cantidad de trabajadores activos —quienes sostienen el sistema a través de sus cotizaciones— disminuirá, en consecuencia, mantener el </w:t>
      </w:r>
      <w:r>
        <w:lastRenderedPageBreak/>
        <w:t xml:space="preserve">equilibrio financiero del sistema requerirá medidas contundentes para incrementar las fuentes de financiación o ajustar las condiciones de acceso a las pensiones. Y, según </w:t>
      </w:r>
      <w:sdt>
        <w:sdtPr>
          <w:rPr>
            <w:color w:val="000000"/>
          </w:rPr>
          <w:tag w:val="MENDELEY_CITATION_v3_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"/>
          <w:id w:val="282397833"/>
          <w:placeholder>
            <w:docPart w:val="DefaultPlaceholder_-1854013440"/>
          </w:placeholder>
        </w:sdtPr>
        <w:sdtContent>
          <w:r>
            <w:rPr>
              <w:color w:val="000000"/>
            </w:rPr>
            <w:t>Santanilla (2025)</w:t>
          </w:r>
        </w:sdtContent>
      </w:sdt>
      <w:r>
        <w:t>se registran bajas en la natalidad en Colombia, para el 2024 fueron 445.011 nacimientos, 70.538 menos que en el 2023.</w:t>
      </w:r>
    </w:p>
    <w:p w14:paraId="456745F1" w14:textId="77777777" w:rsidR="00BE70E2" w:rsidRDefault="00000000">
      <w:pPr>
        <w:spacing w:after="0"/>
      </w:pPr>
      <w:r>
        <w:t xml:space="preserve">Por otro lado, la reforma también pretende reducir las brechas sociales a través del Pilar Solidario y el Semicontributivo, destinados a garantizar una renta básica a quienes no logren cumplir con las semanas mínimas de cotización </w:t>
      </w:r>
      <w:sdt>
        <w:sdtPr>
          <w:rPr>
            <w:color w:val="000000"/>
          </w:rPr>
          <w:tag w:val="MENDELEY_CITATION_v3_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"/>
          <w:id w:val="-913928465"/>
          <w:placeholder>
            <w:docPart w:val="DefaultPlaceholder_-1854013440"/>
          </w:placeholder>
        </w:sdtPr>
        <w:sdtContent>
          <w:r>
            <w:rPr>
              <w:color w:val="000000"/>
            </w:rPr>
            <w:t>(Otero, 2024)</w:t>
          </w:r>
        </w:sdtContent>
      </w:sdt>
      <w:r>
        <w:t xml:space="preserve">. No obstante, esta estrategia ha sido criticada por expertos como </w:t>
      </w:r>
      <w:sdt>
        <w:sdtPr>
          <w:rPr>
            <w:color w:val="000000"/>
          </w:rPr>
          <w:tag w:val="MENDELEY_CITATION_v3_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"/>
          <w:id w:val="-1182435322"/>
          <w:placeholder>
            <w:docPart w:val="DefaultPlaceholder_-1854013440"/>
          </w:placeholder>
        </w:sdtPr>
        <w:sdtContent>
          <w:r>
            <w:rPr>
              <w:color w:val="000000"/>
            </w:rPr>
            <w:t>Clavijo (2023)</w:t>
          </w:r>
        </w:sdtContent>
      </w:sdt>
      <w:r>
        <w:rPr>
          <w:color w:val="000000"/>
        </w:rPr>
        <w:t>,</w:t>
      </w:r>
      <w:r>
        <w:t xml:space="preserve"> quien advierte que la alta informalidad laboral —que alcanza el 85% según datos de la Planilla Integrada de Liquidación de Aportes (PILA)— limita la capacidad de millones de trabajadores para cotizar de manera consistente, lo que perpetúa un círculo vicioso de exclusión del sistema pensional, lo cual no solo afecta a los trabajadores actuales, sino que también incrementa la presión fiscal sobre el Estado, que deberá suplir dichas carencias con recursos públicos.</w:t>
      </w:r>
    </w:p>
    <w:p w14:paraId="25F2FBA7" w14:textId="77777777" w:rsidR="00BE70E2" w:rsidRDefault="00000000">
      <w:pPr>
        <w:spacing w:after="0"/>
      </w:pPr>
      <w:r>
        <w:t xml:space="preserve">La situación se complica aún más al considerar las implicaciones legales y socioeconómicas de la reforma, puesto que por un lado, se ha cuestionado la constitucionalidad de la Ley 2381 de 2024 debido a la falta de un debate amplio en el Senado, lo que podría abrir la puerta a demandas futuras ante la Corte Constitucional </w:t>
      </w:r>
      <w:sdt>
        <w:sdtPr>
          <w:rPr>
            <w:color w:val="000000"/>
          </w:rPr>
          <w:tag w:val="MENDELEY_CITATION_v3_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"/>
          <w:id w:val="301045748"/>
          <w:placeholder>
            <w:docPart w:val="DefaultPlaceholder_-1854013440"/>
          </w:placeholder>
        </w:sdtPr>
        <w:sdtContent>
          <w:r>
            <w:rPr>
              <w:color w:val="000000"/>
            </w:rPr>
            <w:t>(Otero, 2024)</w:t>
          </w:r>
        </w:sdtContent>
      </w:sdt>
      <w:r>
        <w:t xml:space="preserve"> y, por otro lado, el nuevo modelo plantea un dilema entre garantizar el derecho a una pensión digna —como lo establece el artículo 48 de la Constitución Política de Colombia— y asegurar que el sistema no colapse financieramente ante la creciente demanda de recursos.</w:t>
      </w:r>
    </w:p>
    <w:p w14:paraId="75AD0BFB" w14:textId="77777777" w:rsidR="00BE70E2" w:rsidRDefault="00000000">
      <w:pPr>
        <w:spacing w:after="0"/>
        <w:jc w:val="both"/>
      </w:pPr>
      <w:r>
        <w:rPr>
          <w:rFonts w:hint="eastAsia"/>
        </w:rPr>
        <w:t xml:space="preserve">Esta tensión jurídica dejó de ser una mera hipótesis cuando, mediante Auto del 17 de junio de 2025, la Sala Plena de la Corte Constitucional ordenó la suspensión de la entrada en vigencia de la Ley 2381 de 2024 debido a vicios de procedimiento identificados en su trámite legislativo en </w:t>
      </w:r>
      <w:r>
        <w:rPr>
          <w:rFonts w:hint="eastAsia"/>
        </w:rPr>
        <w:lastRenderedPageBreak/>
        <w:t>la Cámara de Representantes. Esta decisión no solo aplaza la implementación de la reforma, sino que reafirma las dudas sobre su constitucionalidad y deja al sistema pensional en un estado de transitoriedad e incertidumbre, manteniendo la vigencia de la Ley 100 de 1993 hasta que se emita un fallo definitivo.</w:t>
      </w:r>
    </w:p>
    <w:p w14:paraId="0AB1A5FB" w14:textId="77777777" w:rsidR="00BE70E2" w:rsidRDefault="00BE70E2">
      <w:pPr>
        <w:spacing w:after="0"/>
      </w:pPr>
    </w:p>
    <w:p w14:paraId="5C394328" w14:textId="77777777" w:rsidR="00BE70E2" w:rsidRDefault="00000000">
      <w:pPr>
        <w:spacing w:after="0"/>
      </w:pPr>
      <w:r>
        <w:t xml:space="preserve">Adicionalmente, el impacto de la reforma no solo se refleja en los aspectos financieros y jurídicos, sino también en las dinámicas sociales y económicas del país, lo que ha acrecentado la incertidumbre respecto de la viabilidad del sistema y esto afectará las decisiones de ahorro de las familias, la planificación financiera de los jóvenes y la percepción general sobre la estabilidad económica del país. Asimismo, existe el riesgo de que las medidas adoptadas no logren cerrar las brechas de cobertura, manteniendo la exclusión de sectores rurales y poblaciones vulnerables, tal como evidenció </w:t>
      </w:r>
      <w:sdt>
        <w:sdtPr>
          <w:rPr>
            <w:color w:val="000000"/>
          </w:rPr>
          <w:tag w:val="MENDELEY_CITATION_v3_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"/>
          <w:id w:val="-1644194326"/>
          <w:placeholder>
            <w:docPart w:val="6F1C358CF3E6489295C6C762293D9035"/>
          </w:placeholder>
        </w:sdtPr>
        <w:sdtContent>
          <w:r>
            <w:rPr>
              <w:color w:val="000000"/>
            </w:rPr>
            <w:t>Duque et al. (2025)</w:t>
          </w:r>
        </w:sdtContent>
      </w:sdt>
      <w:r>
        <w:rPr>
          <w:color w:val="000000"/>
        </w:rPr>
        <w:t xml:space="preserve"> </w:t>
      </w:r>
      <w:r>
        <w:t>en análisis previos sobre las comunidades rurales y su limitada participación en el sistema pensional.</w:t>
      </w:r>
    </w:p>
    <w:p w14:paraId="1BD23F7B" w14:textId="77777777" w:rsidR="00BE70E2" w:rsidRDefault="00000000">
      <w:pPr>
        <w:spacing w:after="0"/>
      </w:pPr>
      <w:r>
        <w:t>Este escenario es motivo de preocupación por lo que, es fundamental realizar un análisis jurídico riguroso y crítico sobre las verdaderas implicaciones de la reforma, más allá de sus intenciones declaradas, explorando cómo afectará a las futuras generaciones y a los trabajadores actuales, desde una perspectiva multidimensional que abarque lo financiero, lo legal y lo social.</w:t>
      </w:r>
      <w:bookmarkEnd w:id="4"/>
    </w:p>
    <w:p w14:paraId="6BDA2560" w14:textId="77777777" w:rsidR="00BE70E2" w:rsidRDefault="00BE70E2">
      <w:pPr>
        <w:spacing w:after="0"/>
      </w:pPr>
    </w:p>
    <w:p w14:paraId="2AD8CFF5" w14:textId="77777777" w:rsidR="00BE70E2" w:rsidRDefault="00000000">
      <w:pPr>
        <w:spacing w:after="0"/>
      </w:pPr>
      <w:r>
        <w:rPr>
          <w:rFonts w:ascii="Times New Roman" w:hAnsi="Times New Roman" w:cs="Times New Roman"/>
        </w:rPr>
        <w:t>Por lo anterior surge el interrogante ¿Cuáles son las consecuencias a largo plazo de la reforma pensional en Colombia, en términos de sostenibilidad financiera y equidad para las futuras generaciones?</w:t>
      </w:r>
    </w:p>
    <w:p w14:paraId="5AAEBC0D" w14:textId="77777777" w:rsidR="00BE70E2" w:rsidRDefault="00000000">
      <w:pPr>
        <w:pStyle w:val="Ttulo1"/>
        <w:numPr>
          <w:ilvl w:val="0"/>
          <w:numId w:val="11"/>
        </w:numPr>
      </w:pPr>
      <w:r>
        <w:br w:type="column"/>
      </w:r>
      <w:bookmarkStart w:id="5" w:name="_Toc203825841"/>
      <w:r>
        <w:lastRenderedPageBreak/>
        <w:t xml:space="preserve"> </w:t>
      </w:r>
      <w:r>
        <w:rPr>
          <w:lang w:val="es-ES"/>
        </w:rPr>
        <w:t>J</w:t>
      </w:r>
      <w:r>
        <w:t>ustificación</w:t>
      </w:r>
      <w:bookmarkEnd w:id="5"/>
      <w:r>
        <w:rPr>
          <w:lang w:val="es-ES"/>
        </w:rPr>
        <w:t xml:space="preserve"> y Objetivos</w:t>
      </w:r>
    </w:p>
    <w:p w14:paraId="7C711496" w14:textId="77777777" w:rsidR="00BE70E2" w:rsidRDefault="00000000">
      <w:pPr>
        <w:pStyle w:val="Ttulo2"/>
        <w:rPr>
          <w:lang w:val="es-ES"/>
        </w:rPr>
      </w:pPr>
      <w:r>
        <w:rPr>
          <w:lang w:val="es-ES"/>
        </w:rPr>
        <w:t>2.1 Pertinencia del tema</w:t>
      </w:r>
    </w:p>
    <w:p w14:paraId="192FC4D7" w14:textId="77777777" w:rsidR="00BE70E2" w:rsidRDefault="00000000">
      <w:r>
        <w:t>Esta investigación es de gran relevancia debido a que con la implementación de la reforma pensional, se modifican aspectos claves del régimen de pensiones, lo cual generará un impacto significativo en la sostenibilidad financiera del sistema y en la equidad entre las generaciones, dado que se prevé según Colpensiones (2024) que más de un 90% de los trabajadores colombianos aporten bajo un umbral de 2.3 salarios mínimos y se plantea una distribución de los ahorros hacia el fondo público con serias dificultades para garantizar las pensiones a largo plazo, profundizando el déficit fiscal (Pérez &amp; Lozano, 2024).</w:t>
      </w:r>
    </w:p>
    <w:p w14:paraId="589F39CE" w14:textId="77777777" w:rsidR="00BE70E2" w:rsidRDefault="00000000">
      <w:pPr>
        <w:pStyle w:val="Ttulo2"/>
        <w:rPr>
          <w:lang w:val="es-ES"/>
        </w:rPr>
      </w:pPr>
      <w:r>
        <w:rPr>
          <w:lang w:val="es-ES"/>
        </w:rPr>
        <w:t>2.2  Importancia del tema</w:t>
      </w:r>
    </w:p>
    <w:p w14:paraId="6F797B89" w14:textId="77777777" w:rsidR="00BE70E2" w:rsidRDefault="00000000">
      <w:pPr>
        <w:rPr>
          <w:lang w:val="es-ES"/>
        </w:rPr>
      </w:pPr>
      <w:r>
        <w:rPr>
          <w:lang w:val="es-ES"/>
        </w:rPr>
        <w:t xml:space="preserve"> La importancia de esta investigación radica en que analiza una de las reformas más trascendentales del país, impactando directamente en el bienestar económico de millones de colombianos. A su vez, es un tema de actualidad, ya que su entrada en vigor está prevista para julio del presente año (Congreso de la República de Colombia, 2024), por lo que resulta fundamental realizar un análisis exhaustivo que permita prever los efectos de esta reforma a largo plazo, no solo en términos financieros, sino también en lo que respecta a la justicia social y la equidad intergeneracional.</w:t>
      </w:r>
    </w:p>
    <w:p w14:paraId="22851F99" w14:textId="77777777" w:rsidR="00BE70E2" w:rsidRDefault="00000000">
      <w:pPr>
        <w:pStyle w:val="Ttulo2"/>
        <w:rPr>
          <w:lang w:val="es-ES"/>
        </w:rPr>
      </w:pPr>
      <w:r>
        <w:rPr>
          <w:lang w:val="es-ES"/>
        </w:rPr>
        <w:t>2.3  Contribución de la investigación</w:t>
      </w:r>
    </w:p>
    <w:p w14:paraId="6819E88D" w14:textId="77777777" w:rsidR="00BE70E2" w:rsidRDefault="00000000">
      <w:pPr>
        <w:rPr>
          <w:lang w:val="es-ES"/>
        </w:rPr>
      </w:pPr>
      <w:r>
        <w:rPr>
          <w:lang w:val="es-ES"/>
        </w:rPr>
        <w:t xml:space="preserve">La investigación contribuye desde la academia a la construcción de políticas públicas más justas y equitativas, proporcionando herramientas analíticas para evaluar si las medidas propuestas efectivamente garantizan la sostenibilidad del sistema pensional y, permite visibilizar </w:t>
      </w:r>
      <w:r>
        <w:rPr>
          <w:lang w:val="es-ES"/>
        </w:rPr>
        <w:lastRenderedPageBreak/>
        <w:t>las posibles brechas sociales y económicas que podrían surgir, promoviendo el diálogo informado entre el gobierno, las instituciones académicas y la sociedad civil.</w:t>
      </w:r>
    </w:p>
    <w:p w14:paraId="44FB5D5D" w14:textId="77777777" w:rsidR="00BE70E2" w:rsidRDefault="00000000">
      <w:pPr>
        <w:pStyle w:val="Ttulo2"/>
        <w:rPr>
          <w:lang w:val="es-ES"/>
        </w:rPr>
      </w:pPr>
      <w:r>
        <w:rPr>
          <w:lang w:val="es-ES"/>
        </w:rPr>
        <w:t>2.4.    Impacto</w:t>
      </w:r>
    </w:p>
    <w:p w14:paraId="7A398116" w14:textId="77777777" w:rsidR="00BE70E2" w:rsidRDefault="00000000">
      <w:pPr>
        <w:rPr>
          <w:lang w:val="es-ES"/>
        </w:rPr>
      </w:pPr>
      <w:r>
        <w:rPr>
          <w:lang w:val="es-ES"/>
        </w:rPr>
        <w:t>El impacto de esta investigación se extiende a varios campos del conocimiento y a la sociedad en general. En primer lugar, aporta a la academia un análisis crítico sobre la reforma pensional, articulando conceptos económicos, jurídicos y sociales. En el ámbito legal, examina las implicaciones constitucionales de la reforma, especialmente en lo relacionado con el principio de sostenibilidad financiera (Corte Constitucional de Colombia, 2019) y, en el ámbito económico, ofrece una perspectiva clara sobre las consecuencias que la redistribución de las cotizaciones y el envejecimiento poblacional tendrán en las finanzas públicas y en el mercado laboral. En términos generales, esta reforma pensional es un tema de interés público que afecta directamente a los jóvenes, trabajadores, estudiantes, abogados y ciudadanos en general. De acuerdo con el Banco Mundial (2013), las reformas pensionales en América Latina han enfrentado retos comunes relacionados con la sostenibilidad de los sistemas de prima media y la ampliación de la cobertura, lo que resalta la importancia de entender las dinámicas globales para implementar soluciones locales efectivas.</w:t>
      </w:r>
    </w:p>
    <w:p w14:paraId="0B1A3410" w14:textId="77777777" w:rsidR="00BE70E2" w:rsidRDefault="00000000">
      <w:pPr>
        <w:pStyle w:val="Ttulo2"/>
        <w:rPr>
          <w:lang w:val="es-ES"/>
        </w:rPr>
      </w:pPr>
      <w:r>
        <w:rPr>
          <w:lang w:val="es-ES"/>
        </w:rPr>
        <w:t>2.5.    OBJETIVOS</w:t>
      </w:r>
    </w:p>
    <w:p w14:paraId="074C0216" w14:textId="77777777" w:rsidR="00BE70E2" w:rsidRDefault="00000000">
      <w:pPr>
        <w:pStyle w:val="Ttulo3"/>
        <w:rPr>
          <w:lang w:val="es-ES"/>
        </w:rPr>
      </w:pPr>
      <w:r>
        <w:rPr>
          <w:lang w:val="es-ES"/>
        </w:rPr>
        <w:t>2.5.1 Objetivo general</w:t>
      </w:r>
    </w:p>
    <w:p w14:paraId="09F8C948" w14:textId="77777777" w:rsidR="00BE70E2" w:rsidRDefault="00000000">
      <w:pPr>
        <w:rPr>
          <w:lang w:val="es-ES"/>
        </w:rPr>
      </w:pPr>
      <w:r>
        <w:rPr>
          <w:lang w:val="es-ES"/>
        </w:rPr>
        <w:t>Evaluar las consecuencias jurídicas a largo plazo de la reforma pensional en Colombia a la luz del principio de la sostenibilidad financiera del sistema y la equidad intergeneracional.</w:t>
      </w:r>
    </w:p>
    <w:p w14:paraId="284E86FB" w14:textId="77777777" w:rsidR="00BE70E2" w:rsidRDefault="00BE70E2">
      <w:pPr>
        <w:rPr>
          <w:lang w:val="es-ES"/>
        </w:rPr>
      </w:pPr>
    </w:p>
    <w:p w14:paraId="679D0B05" w14:textId="77777777" w:rsidR="00BE70E2" w:rsidRDefault="00000000">
      <w:pPr>
        <w:pStyle w:val="Ttulo3"/>
        <w:rPr>
          <w:lang w:val="es-ES"/>
        </w:rPr>
      </w:pPr>
      <w:r>
        <w:rPr>
          <w:lang w:val="es-ES"/>
        </w:rPr>
        <w:lastRenderedPageBreak/>
        <w:t xml:space="preserve">2.5.2 Objetivo especificos </w:t>
      </w:r>
    </w:p>
    <w:p w14:paraId="0EBCB5BB" w14:textId="77777777" w:rsidR="00BE70E2" w:rsidRDefault="00000000">
      <w:pPr>
        <w:rPr>
          <w:lang w:val="es-ES"/>
        </w:rPr>
      </w:pPr>
      <w:r>
        <w:rPr>
          <w:lang w:val="es-ES"/>
        </w:rPr>
        <w:t>Para alcanzar este objetivo se plantean los siguientes objetivos específicos:</w:t>
      </w:r>
    </w:p>
    <w:p w14:paraId="78948486" w14:textId="77777777" w:rsidR="00BE70E2" w:rsidRDefault="00000000">
      <w:pPr>
        <w:rPr>
          <w:lang w:val="es-ES"/>
        </w:rPr>
      </w:pPr>
      <w:r>
        <w:rPr>
          <w:lang w:val="es-ES"/>
        </w:rPr>
        <w:t>Examinar las repercusiones socioeconómicas de la reforma pensional, evaluando cómo afectan el derecho a la seguridad social y las condiciones de vida de los trabajadores actuales y las futuras generaciones.</w:t>
      </w:r>
    </w:p>
    <w:p w14:paraId="74ACEE5B" w14:textId="77777777" w:rsidR="00BE70E2" w:rsidRDefault="00000000">
      <w:pPr>
        <w:rPr>
          <w:lang w:val="es-ES"/>
        </w:rPr>
      </w:pPr>
      <w:r>
        <w:rPr>
          <w:lang w:val="es-ES"/>
        </w:rPr>
        <w:t>Analizar el efecto de la Ley 2381 de 2024 sobre la sostenibilidad financiera del sistema pensional colombiano, desde la perspectiva del principio constitucional de progresividad y sostenibilidad fiscal.</w:t>
      </w:r>
    </w:p>
    <w:p w14:paraId="294105A2" w14:textId="77777777" w:rsidR="00BE70E2" w:rsidRDefault="00000000">
      <w:pPr>
        <w:rPr>
          <w:lang w:val="es-ES"/>
        </w:rPr>
      </w:pPr>
      <w:r>
        <w:rPr>
          <w:lang w:val="es-ES"/>
        </w:rPr>
        <w:t>Estudiar los retos a los que se enfrenta la reforma, verificando su conformidad con los principios constitucionales de solidaridad, sostenibilidad y protección de derechos adquiridos.</w:t>
      </w:r>
    </w:p>
    <w:p w14:paraId="3E81D2F8" w14:textId="77777777" w:rsidR="00BE70E2" w:rsidRDefault="00BE70E2">
      <w:pPr>
        <w:rPr>
          <w:lang w:val="es-ES"/>
        </w:rPr>
      </w:pPr>
    </w:p>
    <w:p w14:paraId="15875A00" w14:textId="77777777" w:rsidR="00BE70E2" w:rsidRDefault="00BE70E2">
      <w:pPr>
        <w:rPr>
          <w:lang w:val="es-ES"/>
        </w:rPr>
      </w:pPr>
    </w:p>
    <w:p w14:paraId="049466AE" w14:textId="77777777" w:rsidR="00BE70E2" w:rsidRDefault="00BE70E2">
      <w:pPr>
        <w:pStyle w:val="Ttulo3"/>
        <w:rPr>
          <w:lang w:val="es-ES"/>
        </w:rPr>
      </w:pPr>
    </w:p>
    <w:p w14:paraId="4C33C8EC" w14:textId="77777777" w:rsidR="00BE70E2" w:rsidRDefault="00BE70E2">
      <w:pPr>
        <w:rPr>
          <w:lang w:val="es-ES"/>
        </w:rPr>
      </w:pPr>
    </w:p>
    <w:p w14:paraId="79AFE9E9" w14:textId="77777777" w:rsidR="00BE70E2" w:rsidRDefault="00000000">
      <w:pPr>
        <w:pStyle w:val="Ttulo1"/>
        <w:numPr>
          <w:ilvl w:val="0"/>
          <w:numId w:val="11"/>
        </w:numPr>
      </w:pPr>
      <w:r>
        <w:br w:type="column"/>
      </w:r>
      <w:bookmarkStart w:id="6" w:name="_Toc203825842"/>
      <w:r>
        <w:lastRenderedPageBreak/>
        <w:t>Marco de referencia</w:t>
      </w:r>
      <w:bookmarkEnd w:id="6"/>
    </w:p>
    <w:p w14:paraId="6CAD8A3A" w14:textId="77777777" w:rsidR="00BE70E2" w:rsidRDefault="00000000">
      <w:pPr>
        <w:pStyle w:val="Ttulo2"/>
      </w:pPr>
      <w:bookmarkStart w:id="7" w:name="_Toc203825843"/>
      <w:r>
        <w:t>3.1. Marco conceptual</w:t>
      </w:r>
      <w:bookmarkEnd w:id="7"/>
      <w:r>
        <w:t xml:space="preserve"> </w:t>
      </w:r>
    </w:p>
    <w:p w14:paraId="589CB334" w14:textId="77777777" w:rsidR="00BE70E2" w:rsidRDefault="00000000">
      <w:pPr>
        <w:pStyle w:val="Ttulo3"/>
      </w:pPr>
      <w:bookmarkStart w:id="8" w:name="_Toc203825844"/>
      <w:r>
        <w:t>3.1.1. Sistema pensional</w:t>
      </w:r>
      <w:bookmarkEnd w:id="8"/>
      <w:r>
        <w:t xml:space="preserve"> </w:t>
      </w:r>
    </w:p>
    <w:p w14:paraId="0E93AD88" w14:textId="77777777" w:rsidR="00BE70E2" w:rsidRDefault="00000000">
      <w:pPr>
        <w:spacing w:after="0"/>
      </w:pPr>
      <w:r>
        <w:t xml:space="preserve">El sistema pensional es el conjunto de normas, instituciones y mecanismos que regulan la protección económica de las personas en su vejez, invalidez o ante la muerte del afiliado, garantizando ingresos sustitutivos del salario </w:t>
      </w:r>
      <w:sdt>
        <w:sdtPr>
          <w:rPr>
            <w:color w:val="000000"/>
          </w:rPr>
          <w:tag w:val="MENDELEY_CITATION_v3_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"/>
          <w:id w:val="1998841384"/>
          <w:placeholder>
            <w:docPart w:val="DefaultPlaceholder_-1854013440"/>
          </w:placeholder>
        </w:sdtPr>
        <w:sdtContent>
          <w:r>
            <w:rPr>
              <w:color w:val="000000"/>
            </w:rPr>
            <w:t>(Franco et al., 2015)</w:t>
          </w:r>
        </w:sdtContent>
      </w:sdt>
      <w:r>
        <w:t>. En Colombia, este sistema ha evolucionado desde un esquema de cajas de previsión hasta la implementación de un sistema mixto con la Ley 100 de 1993 y, más recientemente, con la reforma pensional de 2024 que establece un modelo de pilares para ampliar la cobertura y garantizar la sostenibilidad del sistema.</w:t>
      </w:r>
    </w:p>
    <w:p w14:paraId="5274F380" w14:textId="77777777" w:rsidR="00BE70E2" w:rsidRDefault="00000000">
      <w:pPr>
        <w:pStyle w:val="Ttulo3"/>
      </w:pPr>
      <w:bookmarkStart w:id="9" w:name="_Toc203825845"/>
      <w:r>
        <w:t>3.1.2. Sostenibilidad financiera</w:t>
      </w:r>
      <w:bookmarkEnd w:id="9"/>
    </w:p>
    <w:p w14:paraId="6BAE5F12" w14:textId="77777777" w:rsidR="00BE70E2" w:rsidRDefault="00000000">
      <w:r>
        <w:t>La sostenibilidad financiera hace referencia a la capacidad de un sistema económico o institucional para mantenerse en funcionamiento sin comprometer su viabilidad a largo plazo. En el contexto pensional, implica que los ingresos por cotizaciones y aportes sean suficientes para cubrir las obligaciones futuras con los pensionados, evitando déficits que requieran financiación con recursos públicos adicionales</w:t>
      </w:r>
      <w:sdt>
        <w:sdtPr>
          <w:rPr>
            <w:color w:val="000000"/>
          </w:rPr>
          <w:tag w:val="MENDELEY_CITATION_v3_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"/>
          <w:id w:val="-738321956"/>
          <w:placeholder>
            <w:docPart w:val="DefaultPlaceholder_-1854013440"/>
          </w:placeholder>
        </w:sdtPr>
        <w:sdtContent>
          <w:r>
            <w:rPr>
              <w:color w:val="000000"/>
            </w:rPr>
            <w:t>(Otero, 2024)</w:t>
          </w:r>
        </w:sdtContent>
      </w:sdt>
      <w:r>
        <w:t>.</w:t>
      </w:r>
    </w:p>
    <w:p w14:paraId="1B82331F" w14:textId="77777777" w:rsidR="00BE70E2" w:rsidRDefault="00000000">
      <w:pPr>
        <w:pStyle w:val="Ttulo3"/>
      </w:pPr>
      <w:bookmarkStart w:id="10" w:name="_Toc203825846"/>
      <w:r>
        <w:t>3.1.3. Déficit fiscal</w:t>
      </w:r>
      <w:bookmarkEnd w:id="10"/>
    </w:p>
    <w:p w14:paraId="6CEFF038" w14:textId="77777777" w:rsidR="00BE70E2" w:rsidRDefault="00000000">
      <w:r>
        <w:t xml:space="preserve">El déficit fiscal ocurre cuando los gastos del Estado superan sus ingresos, generando un desbalance que debe ser cubierto mediante endeudamiento o emisión monetaria. En el sistema pensional, este fenómeno se presenta cuando los recursos disponibles no son suficientes para </w:t>
      </w:r>
      <w:r>
        <w:lastRenderedPageBreak/>
        <w:t xml:space="preserve">cubrir el pago de pensiones, obligando al Gobierno a destinar parte del presupuesto nacional para financiarlo, lo que afecta otras áreas del gasto público </w:t>
      </w:r>
      <w:sdt>
        <w:sdtPr>
          <w:rPr>
            <w:color w:val="000000"/>
          </w:rPr>
          <w:tag w:val="MENDELEY_CITATION_v3_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"/>
          <w:id w:val="-1699149000"/>
          <w:placeholder>
            <w:docPart w:val="DefaultPlaceholder_-1854013440"/>
          </w:placeholder>
        </w:sdtPr>
        <w:sdtContent>
          <w:r>
            <w:rPr>
              <w:color w:val="000000"/>
            </w:rPr>
            <w:t>(Otero, 2024)</w:t>
          </w:r>
        </w:sdtContent>
      </w:sdt>
      <w:r>
        <w:t>.</w:t>
      </w:r>
    </w:p>
    <w:p w14:paraId="4BDF8AE1" w14:textId="77777777" w:rsidR="00BE70E2" w:rsidRDefault="00000000">
      <w:pPr>
        <w:pStyle w:val="Ttulo3"/>
      </w:pPr>
      <w:bookmarkStart w:id="11" w:name="_Toc203825847"/>
      <w:r>
        <w:t>3.1.4. Derechos adquiridos</w:t>
      </w:r>
      <w:bookmarkEnd w:id="11"/>
    </w:p>
    <w:p w14:paraId="59DFC15D" w14:textId="77777777" w:rsidR="00BE70E2" w:rsidRDefault="00000000">
      <w:r>
        <w:t xml:space="preserve">Los derechos adquiridos son aquellos beneficios que una persona obtiene de manera definitiva por cumplir ciertos requisitos legales, y que no pueden ser modificados o eliminados por reformas posteriores. En materia pensional, </w:t>
      </w:r>
      <w:sdt>
        <w:sdtPr>
          <w:rPr>
            <w:color w:val="000000"/>
          </w:rPr>
          <w:tag w:val="MENDELEY_CITATION_v3_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"/>
          <w:id w:val="-1911065175"/>
          <w:placeholder>
            <w:docPart w:val="DefaultPlaceholder_-1854013440"/>
          </w:placeholder>
        </w:sdtPr>
        <w:sdtContent>
          <w:r>
            <w:rPr>
              <w:color w:val="000000"/>
            </w:rPr>
            <w:t>(Granados, 2023)</w:t>
          </w:r>
        </w:sdtContent>
      </w:sdt>
      <w:r>
        <w:t>se refieren a las prestaciones que los afiliados y pensionados han consolidado conforme a la normatividad vigente en el momento en que cumplieron los requisitos, lo que protege sus expectativas de pensión ante cambios en el sistema.</w:t>
      </w:r>
    </w:p>
    <w:p w14:paraId="7809EEA3" w14:textId="77777777" w:rsidR="00BE70E2" w:rsidRDefault="00000000">
      <w:pPr>
        <w:pStyle w:val="Ttulo3"/>
      </w:pPr>
      <w:bookmarkStart w:id="12" w:name="_Toc203825848"/>
      <w:r>
        <w:t>3.1.5. Baja natalidad</w:t>
      </w:r>
      <w:bookmarkEnd w:id="12"/>
    </w:p>
    <w:p w14:paraId="3014EBF6" w14:textId="77777777" w:rsidR="00BE70E2" w:rsidRDefault="00000000">
      <w:r>
        <w:t xml:space="preserve">La baja natalidad es la reducción progresiva en la tasa de nacimientos dentro de una población. Este fenómeno tiene un impacto directo en los sistemas pensionales de reparto, ya que con menos personas jóvenes ingresando al mercado laboral, la base de cotizantes se reduce, afectando la sostenibilidad del sistema y aumentando la presión sobre el financiamiento de las pensiones. En Colombia, la disminución de la tasa de natalidad ha sido identificada como un desafío para el equilibrio del sistema pensional, lo que ha impulsado reformas orientadas a garantizar su sostenibilidad a largo plazo </w:t>
      </w:r>
      <w:sdt>
        <w:sdtPr>
          <w:rPr>
            <w:color w:val="000000"/>
          </w:rPr>
          <w:tag w:val="MENDELEY_CITATION_v3_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"/>
          <w:id w:val="112637989"/>
          <w:placeholder>
            <w:docPart w:val="DefaultPlaceholder_-1854013440"/>
          </w:placeholder>
        </w:sdtPr>
        <w:sdtContent>
          <w:r>
            <w:rPr>
              <w:color w:val="000000"/>
            </w:rPr>
            <w:t>(Santanilla, 2025)</w:t>
          </w:r>
        </w:sdtContent>
      </w:sdt>
      <w:r>
        <w:t>.</w:t>
      </w:r>
    </w:p>
    <w:p w14:paraId="2DAD02E0" w14:textId="77777777" w:rsidR="00BE70E2" w:rsidRDefault="00BE70E2"/>
    <w:p w14:paraId="6154224A" w14:textId="77777777" w:rsidR="00BE70E2" w:rsidRDefault="00000000">
      <w:pPr>
        <w:pStyle w:val="Ttulo2"/>
        <w:ind w:firstLine="720"/>
        <w:rPr>
          <w:lang w:eastAsia="en-US"/>
        </w:rPr>
      </w:pPr>
      <w:bookmarkStart w:id="13" w:name="_Toc80689278"/>
      <w:bookmarkStart w:id="14" w:name="_Toc203825849"/>
      <w:r>
        <w:rPr>
          <w:lang w:eastAsia="en-US"/>
        </w:rPr>
        <w:t>3.2. Marco histórico</w:t>
      </w:r>
      <w:bookmarkEnd w:id="13"/>
      <w:bookmarkEnd w:id="14"/>
      <w:r>
        <w:rPr>
          <w:lang w:eastAsia="en-US"/>
        </w:rPr>
        <w:t xml:space="preserve"> </w:t>
      </w:r>
    </w:p>
    <w:p w14:paraId="73B465B1" w14:textId="77777777" w:rsidR="00BE70E2" w:rsidRDefault="00000000">
      <w:pPr>
        <w:rPr>
          <w:lang w:eastAsia="en-US"/>
        </w:rPr>
      </w:pPr>
      <w:r>
        <w:rPr>
          <w:lang w:eastAsia="en-US"/>
        </w:rPr>
        <w:t xml:space="preserve">Desde la instauración de los primeros sistemas de pensiones, Alemania se destacó como pionera en esta materia, influenciada por las preocupaciones de la OIT sobre la protección social. </w:t>
      </w:r>
      <w:r>
        <w:rPr>
          <w:lang w:eastAsia="en-US"/>
        </w:rPr>
        <w:lastRenderedPageBreak/>
        <w:t xml:space="preserve">Sin embargo, fue con la Declaración Universal de los Derechos Humanos que el derecho a la seguridad social adquirió reconocimiento jurídico y político </w:t>
      </w:r>
      <w:sdt>
        <w:sdtPr>
          <w:rPr>
            <w:color w:val="000000"/>
            <w:lang w:eastAsia="en-US"/>
          </w:rPr>
          <w:tag w:val="MENDELEY_CITATION_v3_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"/>
          <w:id w:val="-1809237962"/>
          <w:placeholder>
            <w:docPart w:val="DefaultPlaceholder_-1854013440"/>
          </w:placeholder>
        </w:sdtPr>
        <w:sdtContent>
          <w:r>
            <w:rPr>
              <w:rFonts w:eastAsia="Times New Roman"/>
              <w:color w:val="000000"/>
            </w:rPr>
            <w:t>(Acuña &amp; Suarez, 2018)</w:t>
          </w:r>
        </w:sdtContent>
      </w:sdt>
      <w:r>
        <w:rPr>
          <w:lang w:eastAsia="en-US"/>
        </w:rPr>
        <w:t>.</w:t>
      </w:r>
    </w:p>
    <w:p w14:paraId="6AAE3E52" w14:textId="77777777" w:rsidR="00BE70E2" w:rsidRDefault="00000000">
      <w:pPr>
        <w:rPr>
          <w:lang w:eastAsia="en-US"/>
        </w:rPr>
      </w:pPr>
      <w:r>
        <w:rPr>
          <w:lang w:eastAsia="en-US"/>
        </w:rPr>
        <w:t xml:space="preserve">Con el tiempo, los sistemas pensionales han evolucionado. Inicialmente, predominaban los esquemas de reparto con pensión definida, pero tras la crisis económica de 2008, surgieron los sistemas de capitalización individual. Estos funcionan a través de contribuciones que se invierten en mercados financieros y se acumulan en cuentas individuales hasta la jubilación. Actualmente, coexisten modelos mixtos que combinan elementos de ambos sistemas, variando en su composición y nivel de privatización </w:t>
      </w:r>
      <w:sdt>
        <w:sdtPr>
          <w:rPr>
            <w:color w:val="000000"/>
            <w:lang w:eastAsia="en-US"/>
          </w:rPr>
          <w:tag w:val="MENDELEY_CITATION_v3_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"/>
          <w:id w:val="1059752383"/>
          <w:placeholder>
            <w:docPart w:val="DefaultPlaceholder_-1854013440"/>
          </w:placeholder>
        </w:sdtPr>
        <w:sdtContent>
          <w:r>
            <w:rPr>
              <w:color w:val="000000"/>
              <w:lang w:eastAsia="en-US"/>
            </w:rPr>
            <w:t>(Leitch et al., 2020)</w:t>
          </w:r>
        </w:sdtContent>
      </w:sdt>
      <w:r>
        <w:rPr>
          <w:lang w:eastAsia="en-US"/>
        </w:rPr>
        <w:t>.</w:t>
      </w:r>
    </w:p>
    <w:p w14:paraId="3999B5EB" w14:textId="77777777" w:rsidR="00BE70E2" w:rsidRDefault="00000000">
      <w:pPr>
        <w:rPr>
          <w:lang w:eastAsia="en-US"/>
        </w:rPr>
      </w:pPr>
      <w:r>
        <w:rPr>
          <w:lang w:eastAsia="en-US"/>
        </w:rPr>
        <w:t xml:space="preserve">Cada país ha desarrollado su propio esquema pensional, que puede clasificarse en tres categorías principales: los sistemas de reparto, donde los trabajadores activos financian a los pensionados; los sistemas de capitalización individual, en los que cada trabajador ahorra para su propia pensión; y los sistemas mixtos, que combinan ambas modalidades. En América Latina y el Caribe, estos sistemas se estructuran en beneficios definidos, contribuciones definidas y pensiones no contributivas </w:t>
      </w:r>
      <w:sdt>
        <w:sdtPr>
          <w:rPr>
            <w:color w:val="000000"/>
            <w:lang w:eastAsia="en-US"/>
          </w:rPr>
          <w:tag w:val="MENDELEY_CITATION_v3_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"/>
          <w:id w:val="1216095120"/>
          <w:placeholder>
            <w:docPart w:val="DefaultPlaceholder_-1854013440"/>
          </w:placeholder>
        </w:sdtPr>
        <w:sdtContent>
          <w:r>
            <w:rPr>
              <w:color w:val="000000"/>
              <w:lang w:eastAsia="en-US"/>
            </w:rPr>
            <w:t>(Altamirano et al., 2018)</w:t>
          </w:r>
        </w:sdtContent>
      </w:sdt>
      <w:r>
        <w:rPr>
          <w:lang w:eastAsia="en-US"/>
        </w:rPr>
        <w:t>.</w:t>
      </w:r>
    </w:p>
    <w:p w14:paraId="58E4C1F3" w14:textId="77777777" w:rsidR="00BE70E2" w:rsidRDefault="00000000">
      <w:pPr>
        <w:rPr>
          <w:lang w:eastAsia="en-US"/>
        </w:rPr>
      </w:pPr>
      <w:r>
        <w:rPr>
          <w:lang w:eastAsia="en-US"/>
        </w:rPr>
        <w:t xml:space="preserve">En Colombia, el sistema pensional tiene sus orígenes en la Ley 6 de 1945 y la Ley 90 de 1946, que crearon el Instituto Colombiano de Seguros Sociales. Antes de esto, la legislación pensional beneficiaba mayormente a la élite, como lo evidencian leyes que otorgaban pensiones a magistrados, viudas de expresidentes y militares enfermos </w:t>
      </w:r>
      <w:sdt>
        <w:sdtPr>
          <w:rPr>
            <w:color w:val="000000"/>
            <w:lang w:eastAsia="en-US"/>
          </w:rPr>
          <w:tag w:val="MENDELEY_CITATION_v3_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"/>
          <w:id w:val="404499329"/>
          <w:placeholder>
            <w:docPart w:val="DefaultPlaceholder_-1854013440"/>
          </w:placeholder>
        </w:sdtPr>
        <w:sdtContent>
          <w:r>
            <w:rPr>
              <w:color w:val="000000"/>
              <w:lang w:eastAsia="en-US"/>
            </w:rPr>
            <w:t>(Franco et al., 2015)</w:t>
          </w:r>
        </w:sdtContent>
      </w:sdt>
      <w:r>
        <w:rPr>
          <w:lang w:eastAsia="en-US"/>
        </w:rPr>
        <w:t>. Con el tiempo, el sistema se fue consolidando mediante leyes como la 100 de 1993, que estableció el Sistema de Seguridad Social Integral, y otras normas que han regulado fondos y esquemas específicos de pensión.</w:t>
      </w:r>
    </w:p>
    <w:p w14:paraId="5AF16F5A" w14:textId="77777777" w:rsidR="00BE70E2" w:rsidRDefault="00000000">
      <w:pPr>
        <w:rPr>
          <w:lang w:eastAsia="en-US"/>
        </w:rPr>
      </w:pPr>
      <w:r>
        <w:rPr>
          <w:lang w:eastAsia="en-US"/>
        </w:rPr>
        <w:lastRenderedPageBreak/>
        <w:t xml:space="preserve">El artículo 48 de la Constitución Política de Colombia establece la seguridad social como un servicio público obligatorio. Desde la Ley 100 de 1993, los dos regímenes están bajo supervisión de la Superintendencia Financiera, salvo las cotizaciones de la fuerza pública, que dependen del Ministerio de Defensa. Además, la UGPP, adscrita al Ministerio de Hacienda, se encarga de la gestión de los recursos pensionales </w:t>
      </w:r>
      <w:sdt>
        <w:sdtPr>
          <w:rPr>
            <w:color w:val="000000"/>
            <w:lang w:eastAsia="en-US"/>
          </w:rPr>
          <w:tag w:val="MENDELEY_CITATION_v3_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"/>
          <w:id w:val="-939446321"/>
          <w:placeholder>
            <w:docPart w:val="DefaultPlaceholder_-1854013440"/>
          </w:placeholder>
        </w:sdtPr>
        <w:sdtContent>
          <w:r>
            <w:rPr>
              <w:rFonts w:eastAsia="Times New Roman"/>
              <w:color w:val="000000"/>
            </w:rPr>
            <w:t>(Arias &amp; Parra, 2021)</w:t>
          </w:r>
        </w:sdtContent>
      </w:sdt>
      <w:r>
        <w:rPr>
          <w:lang w:eastAsia="en-US"/>
        </w:rPr>
        <w:t>.</w:t>
      </w:r>
    </w:p>
    <w:p w14:paraId="7B49B4FF" w14:textId="77777777" w:rsidR="00BE70E2" w:rsidRDefault="00000000">
      <w:pPr>
        <w:rPr>
          <w:lang w:eastAsia="en-US"/>
        </w:rPr>
      </w:pPr>
      <w:r>
        <w:rPr>
          <w:lang w:eastAsia="en-US"/>
        </w:rPr>
        <w:t>El sistema pensional en Colombia ha experimentado diversas reformas a lo largo de su historia con el propósito de garantizar la sostenibilidad financiera y la cobertura de la población. Antes de la Ley 100 de 1993, el país contaba con un sistema fragmentado compuesto por múltiples cajas de previsión que administraban las pensiones de distintos sectores laborales. Esta dispersión generaba desigualdades y un déficit creciente en el financiamiento de las pensiones.</w:t>
      </w:r>
    </w:p>
    <w:p w14:paraId="55B18AA7" w14:textId="77777777" w:rsidR="00BE70E2" w:rsidRDefault="00000000">
      <w:pPr>
        <w:rPr>
          <w:lang w:eastAsia="en-US"/>
        </w:rPr>
      </w:pPr>
      <w:r>
        <w:rPr>
          <w:lang w:eastAsia="en-US"/>
        </w:rPr>
        <w:t>Con la expedición de la Ley 100 de 1993, se estableció el Sistema General de Pensiones basado en dos regímenes: el Régimen de Prima Media (RPM), administrado por el Estado a través de Colpensiones, y el Régimen de Ahorro Individual con Solidaridad (RAIS), gestionado por fondos privados. Esta estructura permitió que los trabajadores eligieran entre estos dos regímenes según su conveniencia y perfil de cotización.</w:t>
      </w:r>
    </w:p>
    <w:p w14:paraId="172117CA" w14:textId="77777777" w:rsidR="00BE70E2" w:rsidRDefault="00000000">
      <w:pPr>
        <w:rPr>
          <w:lang w:eastAsia="en-US"/>
        </w:rPr>
      </w:pPr>
      <w:r>
        <w:rPr>
          <w:lang w:eastAsia="en-US"/>
        </w:rPr>
        <w:t>Sin embargo, debido a los desafíos de sostenibilidad y cobertura, el sistema pensional colombiano ha sido objeto de debate y reformas. La más reciente transformación ocurrió con la expedición de la Ley 2381 de 2024, que eliminó la coexistencia de los dos regímenes y dio paso al Sistema de Protección Social Integral para la Vejez.</w:t>
      </w:r>
    </w:p>
    <w:p w14:paraId="6B9A622B" w14:textId="77777777" w:rsidR="00BE70E2" w:rsidRDefault="00000000">
      <w:pPr>
        <w:pStyle w:val="Ttulo2"/>
        <w:ind w:firstLine="720"/>
      </w:pPr>
      <w:bookmarkStart w:id="15" w:name="_Toc203825850"/>
      <w:r>
        <w:lastRenderedPageBreak/>
        <w:t>3.3. Marco teórico</w:t>
      </w:r>
      <w:bookmarkEnd w:id="15"/>
      <w:r>
        <w:t xml:space="preserve"> </w:t>
      </w:r>
    </w:p>
    <w:p w14:paraId="1CB4F7E5" w14:textId="77777777" w:rsidR="00BE70E2" w:rsidRDefault="00000000">
      <w:pPr>
        <w:spacing w:after="0"/>
      </w:pPr>
      <w:r>
        <w:t xml:space="preserve">El marco teórico de esta investigación se sustenta en tres fundamentos, en primer lugar, el principio de progresividad de los derechos sociales, el cual establece que los Estados tienen la obligación de garantizar una mejora constante en el acceso y ejercicio de los derechos económicos, sociales y culturales (DESC). Este principio implica que los derechos sociales, como la educación, la salud, la vivienda y el trabajo, deben expandirse y fortalecerse con el tiempo, evitando retrocesos injustificados en su garantía. </w:t>
      </w:r>
      <w:sdt>
        <w:sdtPr>
          <w:rPr>
            <w:color w:val="000000"/>
          </w:rPr>
          <w:tag w:val="MENDELEY_CITATION_v3_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"/>
          <w:id w:val="-595097476"/>
          <w:placeholder>
            <w:docPart w:val="DefaultPlaceholder_-1854013440"/>
          </w:placeholder>
        </w:sdtPr>
        <w:sdtContent>
          <w:r>
            <w:rPr>
              <w:color w:val="000000"/>
            </w:rPr>
            <w:t>Courtis (2021)</w:t>
          </w:r>
        </w:sdtContent>
      </w:sdt>
      <w:r>
        <w:t xml:space="preserve"> han desarrollado ampliamente este concepto, señalando que la exigibilidad de los derechos sociales es fundamental para evitar que la progresividad sea solo una declaración de intenciones sin efectos reales en la vida de las personas.</w:t>
      </w:r>
    </w:p>
    <w:p w14:paraId="6596D1CC" w14:textId="77777777" w:rsidR="00BE70E2" w:rsidRDefault="00000000">
      <w:pPr>
        <w:spacing w:after="0"/>
      </w:pPr>
      <w:r>
        <w:t xml:space="preserve">En segundo lugar, el concepto de Estado Social de Derecho es fundamental para entender la estructura y principios del sistema pensional. </w:t>
      </w:r>
      <w:sdt>
        <w:sdtPr>
          <w:rPr>
            <w:color w:val="000000"/>
          </w:rPr>
          <w:tag w:val="MENDELEY_CITATION_v3_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"/>
          <w:id w:val="-27027901"/>
          <w:placeholder>
            <w:docPart w:val="DefaultPlaceholder_-1854013440"/>
          </w:placeholder>
        </w:sdtPr>
        <w:sdtContent>
          <w:r>
            <w:rPr>
              <w:color w:val="000000"/>
            </w:rPr>
            <w:t>Bobbio (1993)</w:t>
          </w:r>
        </w:sdtContent>
      </w:sdt>
      <w:r>
        <w:t xml:space="preserve"> señala que este modelo de Estado no solo reconoce derechos fundamentales, sino que asume una función activa en la garantía de derechos económicos, sociales y culturales. En el contexto colombiano, el Estado Social de Derecho implica que el sistema pensional debe diseñarse de manera que garantice el acceso a una pensión digna como un derecho fundamental, evitando que las personas mayores caigan en condiciones de vulnerabilidad, por lo que la Constitución de 1991 refuerza esta visión al establecer el derecho a la seguridad social como un deber estatal y un derecho irrenunciable de los ciudadanos. </w:t>
      </w:r>
    </w:p>
    <w:p w14:paraId="65FB757E" w14:textId="77777777" w:rsidR="00BE70E2" w:rsidRDefault="00000000">
      <w:pPr>
        <w:spacing w:after="100" w:afterAutospacing="1"/>
      </w:pPr>
      <w:r>
        <w:t xml:space="preserve">En tercer lugar, la seguridad social es reconocida como un derecho humano fundamental en tratados internacionales y en diversas legislaciones nacionales, </w:t>
      </w:r>
      <w:sdt>
        <w:sdtPr>
          <w:rPr>
            <w:color w:val="000000"/>
          </w:rPr>
          <w:tag w:val="MENDELEY_CITATION_v3_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"/>
          <w:id w:val="-1855952272"/>
          <w:placeholder>
            <w:docPart w:val="DefaultPlaceholder_-1854013440"/>
          </w:placeholder>
        </w:sdtPr>
        <w:sdtContent>
          <w:r>
            <w:rPr>
              <w:color w:val="000000"/>
            </w:rPr>
            <w:t>Carrillo (2000)</w:t>
          </w:r>
        </w:sdtContent>
      </w:sdt>
      <w:r>
        <w:t xml:space="preserve">, explica que este derecho garantiza protección ante contingencias como la vejez, invalidez y muerte, asegurando un nivel de vida adecuado para los beneficiarios. Adicionalmente, la seguridad social </w:t>
      </w:r>
      <w:r>
        <w:lastRenderedPageBreak/>
        <w:t>no debe entenderse como un beneficio asistencial, sino como una obligación del Estado hacia sus ciudadanos, por lo que desde esta perspectiva resulta clave para evaluar si los cambios normativos respetan y garantizan este derecho en términos de cobertura, suficiencia y sostenibilidad en la nueva reforma pensional.</w:t>
      </w:r>
    </w:p>
    <w:p w14:paraId="7AD762AC" w14:textId="77777777" w:rsidR="00BE70E2" w:rsidRDefault="00000000">
      <w:pPr>
        <w:spacing w:after="100" w:afterAutospacing="1"/>
      </w:pPr>
      <w:r>
        <w:t xml:space="preserve">De otra vertiente, la Ley 2381 de 2024 introduce una reestructuración profunda del sistema pensional colombiano, adoptando un modelo de pilares con el fin de ampliar la cobertura y mejorar la sostenibilidad. Sin embargo, se observan aspectos que podrían ser regresivos, limitando su equidad y potencialmente acentuando desigualdades preexistentes. Un cambio fundamental es la adopción de un sistema de cuatro pilares (Solidario, Semicontributivo, Contributivo y de Ahorro Voluntario), que sustituye el anterior esquema dual de Régimen de Prima Media (RPM) y Régimen de Ahorro Individual con Solidaridad (RAIS). Aunque esta nueva estructura busca integrar beneficios y ofrecer protección social universal, introduce una mayor complejidad administrativa y operativa. Además, al categorizar a los afiliados por capacidad económica, existe el riesgo de perpetuar desigualdades en lugar de fomentar un sistema más universal </w:t>
      </w:r>
      <w:sdt>
        <w:sdtPr>
          <w:rPr>
            <w:color w:val="000000"/>
          </w:rPr>
          <w:tag w:val="MENDELEY_CITATION_v3_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"/>
          <w:id w:val="1649400554"/>
          <w:placeholder>
            <w:docPart w:val="DefaultPlaceholder_-1854013440"/>
          </w:placeholder>
        </w:sdtPr>
        <w:sdtContent>
          <w:r>
            <w:rPr>
              <w:color w:val="000000"/>
            </w:rPr>
            <w:t>(Colpensiones, 2024)</w:t>
          </w:r>
        </w:sdtContent>
      </w:sdt>
      <w:r>
        <w:t>.</w:t>
      </w:r>
    </w:p>
    <w:p w14:paraId="33F16303" w14:textId="77777777" w:rsidR="00BE70E2" w:rsidRDefault="00000000">
      <w:pPr>
        <w:spacing w:after="100" w:afterAutospacing="1"/>
      </w:pPr>
      <w:r>
        <w:t xml:space="preserve">La implementación del Pilar Solidario, que provee una Renta Básica Solidaria a adultos mayores en situación de pobreza extrema, pobreza o vulnerabilidad, constituye un avance significativo en cobertura social. No obstante, el monto es limitado, basado en la línea de pobreza extrema, y no se considera una pensión </w:t>
      </w:r>
      <w:sdt>
        <w:sdtPr>
          <w:rPr>
            <w:color w:val="000000"/>
          </w:rPr>
          <w:tag w:val="MENDELEY_CITATION_v3_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"/>
          <w:id w:val="1851447618"/>
          <w:placeholder>
            <w:docPart w:val="DefaultPlaceholder_-1854013440"/>
          </w:placeholder>
        </w:sdtPr>
        <w:sdtContent>
          <w:r>
            <w:rPr>
              <w:color w:val="000000"/>
            </w:rPr>
            <w:t>(Congreso de la República de Colombia, 2024)</w:t>
          </w:r>
        </w:sdtContent>
      </w:sdt>
      <w:r>
        <w:t xml:space="preserve">. Esto podría dejar a muchos beneficiarios sin un ingreso adecuado para una vida digna. Además, los criterios de residencia y focalización podrían excluir a poblaciones vulnerables, como migrantes y trabajadores informales no registrados </w:t>
      </w:r>
      <w:sdt>
        <w:sdtPr>
          <w:rPr>
            <w:color w:val="000000"/>
          </w:rPr>
          <w:tag w:val="MENDELEY_CITATION_v3_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"/>
          <w:id w:val="1187793603"/>
          <w:placeholder>
            <w:docPart w:val="DefaultPlaceholder_-1854013440"/>
          </w:placeholder>
        </w:sdtPr>
        <w:sdtContent>
          <w:r>
            <w:rPr>
              <w:color w:val="000000"/>
            </w:rPr>
            <w:t>(Forvis Mazars, 2024)</w:t>
          </w:r>
        </w:sdtContent>
      </w:sdt>
      <w:r>
        <w:t>.</w:t>
      </w:r>
    </w:p>
    <w:p w14:paraId="4E702DC0" w14:textId="77777777" w:rsidR="00BE70E2" w:rsidRDefault="00000000">
      <w:pPr>
        <w:spacing w:after="100" w:afterAutospacing="1"/>
      </w:pPr>
      <w:r>
        <w:lastRenderedPageBreak/>
        <w:t xml:space="preserve">El Pilar Semicontributivo busca corregir una deficiencia histórica al ofrecer beneficios económicos a quienes cotizaron entre 300 y menos de 1,000 semanas, un grupo que previamente solo recibía devoluciones de aportes. Aunque ahora pueden acceder a una Renta Vitalicia, su monto máximo es inferior a un salario mínimo </w:t>
      </w:r>
      <w:sdt>
        <w:sdtPr>
          <w:rPr>
            <w:color w:val="000000"/>
          </w:rPr>
          <w:tag w:val="MENDELEY_CITATION_v3_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"/>
          <w:id w:val="1208986427"/>
          <w:placeholder>
            <w:docPart w:val="DefaultPlaceholder_-1854013440"/>
          </w:placeholder>
        </w:sdtPr>
        <w:sdtContent>
          <w:r>
            <w:rPr>
              <w:color w:val="000000"/>
            </w:rPr>
            <w:t>(Colfondos, 2025)</w:t>
          </w:r>
        </w:sdtContent>
      </w:sdt>
      <w:r>
        <w:t>, lo que podría ser insuficiente para una subsistencia digna. Aquellos con menos de 300 semanas cotizadas siguen excluidos de beneficios sustanciales, recibiendo solo indemnizaciones o devoluciones</w:t>
      </w:r>
      <w:r>
        <w:rPr>
          <w:color w:val="000000"/>
        </w:rPr>
        <w:t>.</w:t>
      </w:r>
    </w:p>
    <w:p w14:paraId="4097F96A" w14:textId="77777777" w:rsidR="00BE70E2" w:rsidRDefault="00000000">
      <w:pPr>
        <w:spacing w:after="100" w:afterAutospacing="1"/>
      </w:pPr>
      <w:r>
        <w:t xml:space="preserve">El rediseño del Pilar Contributivo, que fusiona los esquemas de Prima Media y Ahorro Individual, promueve una mayor integración de aportes para una pensión integral </w:t>
      </w:r>
      <w:sdt>
        <w:sdtPr>
          <w:rPr>
            <w:color w:val="000000"/>
          </w:rPr>
          <w:tag w:val="MENDELEY_CITATION_v3_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"/>
          <w:id w:val="-165782780"/>
          <w:placeholder>
            <w:docPart w:val="DefaultPlaceholder_-1854013440"/>
          </w:placeholder>
        </w:sdtPr>
        <w:sdtContent>
          <w:r>
            <w:rPr>
              <w:color w:val="000000"/>
            </w:rPr>
            <w:t>(Duque et al., 2025)</w:t>
          </w:r>
        </w:sdtContent>
      </w:sdt>
      <w:r>
        <w:t>. No obstante, sus requisitos continúan ligados al empleo formal y a altas exigencias de semanas cotizadas, lo que dificulta el acceso para trabajadores de bajos ingresos, con empleos intermitentes o informales.</w:t>
      </w:r>
    </w:p>
    <w:p w14:paraId="2148291B" w14:textId="77777777" w:rsidR="00BE70E2" w:rsidRDefault="00000000">
      <w:pPr>
        <w:spacing w:after="100" w:afterAutospacing="1"/>
      </w:pPr>
      <w:r>
        <w:t xml:space="preserve">La incorporación del Pilar de Ahorro Voluntario incentiva la planificación financiera complementaria, pero su diseño beneficia principalmente a individuos con ingresos medios y altos, dada su mayor capacidad de ahorro. Esto genera una exclusión para gran parte de la población vulnerable y perpetúa las desigualdades de acceso. Adicionalmente, la dependencia de los mercados financieros introduce riesgos que pueden impactar los rendimientos esperados </w:t>
      </w:r>
      <w:sdt>
        <w:sdtPr>
          <w:rPr>
            <w:color w:val="000000"/>
          </w:rPr>
          <w:tag w:val="MENDELEY_CITATION_v3_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"/>
          <w:id w:val="-880323001"/>
          <w:placeholder>
            <w:docPart w:val="DefaultPlaceholder_-1854013440"/>
          </w:placeholder>
        </w:sdtPr>
        <w:sdtContent>
          <w:r>
            <w:rPr>
              <w:color w:val="000000"/>
            </w:rPr>
            <w:t>(Colfondos, 2025)</w:t>
          </w:r>
        </w:sdtContent>
      </w:sdt>
      <w:r>
        <w:rPr>
          <w:color w:val="000000"/>
        </w:rPr>
        <w:t>.</w:t>
      </w:r>
    </w:p>
    <w:p w14:paraId="685DC33A" w14:textId="77777777" w:rsidR="00BE70E2" w:rsidRDefault="00000000">
      <w:pPr>
        <w:spacing w:after="100" w:afterAutospacing="1"/>
      </w:pPr>
      <w:r>
        <w:t>La ley también ajusta los beneficios pensionales con revisiones anuales basadas en el Índice de Precios al Consumidor (IPC) para preservar el poder adquisitivo, lo cual se analizará desde el principio de solidaridad y sostenibilidad fiscal. Sin embargo, los beneficios de los pilares Solidario y Semicontributivo no son heredables ni constituyen pensiones</w:t>
      </w:r>
      <w:sdt>
        <w:sdtPr>
          <w:rPr>
            <w:color w:val="000000"/>
          </w:rPr>
          <w:tag w:val="MENDELEY_CITATION_v3_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"/>
          <w:id w:val="600001318"/>
          <w:placeholder>
            <w:docPart w:val="DefaultPlaceholder_-1854013440"/>
          </w:placeholder>
        </w:sdtPr>
        <w:sdtContent>
          <w:r>
            <w:rPr>
              <w:color w:val="000000"/>
            </w:rPr>
            <w:t xml:space="preserve">(Congreso de la </w:t>
          </w:r>
          <w:r>
            <w:rPr>
              <w:color w:val="000000"/>
            </w:rPr>
            <w:lastRenderedPageBreak/>
            <w:t>República de Colombia, 2024)</w:t>
          </w:r>
        </w:sdtContent>
      </w:sdt>
      <w:r>
        <w:t>, lo que limita su impacto a largo plazo y los desvincula de la protección integral del Pilar Contributivo.</w:t>
      </w:r>
    </w:p>
    <w:p w14:paraId="701780C7" w14:textId="77777777" w:rsidR="00BE70E2" w:rsidRDefault="00000000">
      <w:pPr>
        <w:pStyle w:val="Ttulo2"/>
        <w:spacing w:after="100" w:afterAutospacing="1"/>
        <w:ind w:firstLine="720"/>
      </w:pPr>
      <w:bookmarkStart w:id="16" w:name="_Toc80689281"/>
      <w:bookmarkStart w:id="17" w:name="_Toc203825851"/>
      <w:r>
        <w:t xml:space="preserve">3.4. </w:t>
      </w:r>
      <w:bookmarkStart w:id="18" w:name="_Toc80689280"/>
      <w:bookmarkEnd w:id="16"/>
      <w:r>
        <w:t xml:space="preserve">Marco </w:t>
      </w:r>
      <w:bookmarkEnd w:id="18"/>
      <w:r>
        <w:t>jurídico</w:t>
      </w:r>
      <w:bookmarkEnd w:id="17"/>
    </w:p>
    <w:p w14:paraId="50B44409" w14:textId="77777777" w:rsidR="00BE70E2" w:rsidRDefault="00000000">
      <w:pPr>
        <w:spacing w:after="100" w:afterAutospacing="1"/>
        <w:rPr>
          <w:rFonts w:ascii="Times New Roman" w:hAnsi="Times New Roman" w:cs="Times New Roman"/>
        </w:rPr>
      </w:pPr>
      <w:r>
        <w:rPr>
          <w:rFonts w:ascii="Times New Roman" w:hAnsi="Times New Roman" w:cs="Times New Roman"/>
        </w:rPr>
        <w:t>A continuación, se detallan las principales normativas que enmarcan la investigación:</w:t>
      </w:r>
    </w:p>
    <w:p w14:paraId="2EA2DCEB" w14:textId="77777777" w:rsidR="00BE70E2" w:rsidRDefault="00000000">
      <w:pPr>
        <w:pStyle w:val="Ttulo3"/>
        <w:spacing w:after="100" w:afterAutospacing="1"/>
      </w:pPr>
      <w:bookmarkStart w:id="19" w:name="_Toc203825852"/>
      <w:r>
        <w:t>3.4.1. Constitución Política de Colombia de 1991</w:t>
      </w:r>
      <w:bookmarkEnd w:id="19"/>
    </w:p>
    <w:p w14:paraId="3902006F" w14:textId="77777777" w:rsidR="00BE70E2" w:rsidRDefault="00000000">
      <w:pPr>
        <w:spacing w:after="100" w:afterAutospacing="1"/>
      </w:pPr>
      <w:r>
        <w:t>La Constitución de 1991 establece el marco fundamental para la protección de los derechos sociales en Colombia, en su artículo 48, consagra la seguridad social como un derecho irrenunciable, señalando su carácter obligatorio y su administración bajo principios de eficiencia, universalidad y solidaridad. Asimismo, en su artículo 53, define los principios fundamentales del derecho laboral y la protección de los trabajadores.</w:t>
      </w:r>
    </w:p>
    <w:p w14:paraId="1CD76CBB" w14:textId="77777777" w:rsidR="00BE70E2" w:rsidRDefault="00000000">
      <w:pPr>
        <w:pStyle w:val="Ttulo3"/>
        <w:spacing w:after="100" w:afterAutospacing="1"/>
      </w:pPr>
      <w:bookmarkStart w:id="20" w:name="_Toc203825853"/>
      <w:r>
        <w:t>3.4.2. Ley 100 de 1993</w:t>
      </w:r>
      <w:bookmarkEnd w:id="20"/>
    </w:p>
    <w:p w14:paraId="0F730393" w14:textId="77777777" w:rsidR="00BE70E2" w:rsidRDefault="00000000">
      <w:pPr>
        <w:spacing w:after="100" w:afterAutospacing="1"/>
      </w:pPr>
      <w:r>
        <w:t>Esta ley creó el Sistema General de Seguridad Social Integral (SGSSI), estructurando los regímenes de pensiones, salud, riesgos laborales y servicios sociales complementarios, con el propósito de garantizar el acceso progresivo de todos los colombianos a estos beneficios, en concordancia con el principio de progresividad de los derechos sociales.</w:t>
      </w:r>
    </w:p>
    <w:p w14:paraId="4A5CD660" w14:textId="77777777" w:rsidR="00BE70E2" w:rsidRDefault="00000000">
      <w:pPr>
        <w:pStyle w:val="Ttulo3"/>
        <w:spacing w:after="100" w:afterAutospacing="1"/>
      </w:pPr>
      <w:bookmarkStart w:id="21" w:name="_Toc203825854"/>
      <w:r>
        <w:t>3.4.3. Ley 797 de 2003</w:t>
      </w:r>
      <w:bookmarkEnd w:id="21"/>
      <w:r>
        <w:t xml:space="preserve"> </w:t>
      </w:r>
    </w:p>
    <w:p w14:paraId="6698EEA6" w14:textId="77777777" w:rsidR="00BE70E2" w:rsidRDefault="00000000">
      <w:pPr>
        <w:spacing w:after="100" w:afterAutospacing="1"/>
      </w:pPr>
      <w:r>
        <w:t xml:space="preserve">Esta ley modificó el Sistema General de Pensiones, estableciendo ajustes en los requisitos para acceder a la pensión de vejez, invalidez y sobrevivencia, introduciendo cambios en la edad </w:t>
      </w:r>
      <w:r>
        <w:lastRenderedPageBreak/>
        <w:t>de jubilación, las semanas de cotización y las condiciones de los regímenes público y privado, con el objetivo de hacer sostenible el sistema de pensiones.</w:t>
      </w:r>
    </w:p>
    <w:p w14:paraId="140844FA" w14:textId="77777777" w:rsidR="00BE70E2" w:rsidRDefault="00000000">
      <w:pPr>
        <w:pStyle w:val="Ttulo3"/>
        <w:spacing w:after="100" w:afterAutospacing="1"/>
      </w:pPr>
      <w:bookmarkStart w:id="22" w:name="_Toc203825855"/>
      <w:r>
        <w:t>3.4.4. Acto Legislativo 01 de 2005</w:t>
      </w:r>
      <w:bookmarkEnd w:id="22"/>
    </w:p>
    <w:p w14:paraId="1C4AE92A" w14:textId="77777777" w:rsidR="00BE70E2" w:rsidRDefault="00000000">
      <w:pPr>
        <w:spacing w:after="100" w:afterAutospacing="1"/>
      </w:pPr>
      <w:r>
        <w:t>Esta norma constituye la reforma constitucional que introdujo modificaciones al sistema pensional en Colombia, como el aumento en los requisitos para acceder a la pensión, la eliminación de regímenes especiales y exceptuados, y la prohibición de la creación de nuevos beneficios pensionales no financiados adecuadamente.</w:t>
      </w:r>
    </w:p>
    <w:p w14:paraId="00DFA888" w14:textId="77777777" w:rsidR="00BE70E2" w:rsidRDefault="00000000">
      <w:pPr>
        <w:pStyle w:val="Ttulo3"/>
        <w:spacing w:after="100" w:afterAutospacing="1"/>
      </w:pPr>
      <w:bookmarkStart w:id="23" w:name="_Toc203825856"/>
      <w:r>
        <w:t>3.4.5. Decreto 1833 de 2016</w:t>
      </w:r>
      <w:bookmarkEnd w:id="23"/>
    </w:p>
    <w:p w14:paraId="1F512CB2" w14:textId="77777777" w:rsidR="00BE70E2" w:rsidRDefault="00000000">
      <w:pPr>
        <w:spacing w:after="100" w:afterAutospacing="1"/>
      </w:pPr>
      <w:r>
        <w:t>Este decreto compiló la normatividad vigente en materia pensional, facilitando su consulta y aplicación, reuniendo en un solo texto las disposiciones que regulan el Sistema General de Pensiones, incluyendo normas sobre requisitos, beneficios, modalidades de cotización y régimen de transición.</w:t>
      </w:r>
    </w:p>
    <w:p w14:paraId="082C607E" w14:textId="77777777" w:rsidR="00BE70E2" w:rsidRDefault="00000000">
      <w:pPr>
        <w:pStyle w:val="Ttulo3"/>
        <w:spacing w:after="100" w:afterAutospacing="1"/>
      </w:pPr>
      <w:bookmarkStart w:id="24" w:name="_Toc203825857"/>
      <w:r>
        <w:t>3.4.6. Ley 2381 de 2024</w:t>
      </w:r>
      <w:bookmarkEnd w:id="24"/>
    </w:p>
    <w:p w14:paraId="297E66C1" w14:textId="77777777" w:rsidR="00BE70E2" w:rsidRDefault="00000000">
      <w:pPr>
        <w:spacing w:after="100" w:afterAutospacing="1"/>
      </w:pPr>
      <w:r>
        <w:t>Esta ley desarrolla la reforma pensional en Colombia, modificando el sistema de pensiones mediante la implementación de un modelo basado en pilares que reorganiza la forma en que se administran y distribuyen las cotizaciones. Entre sus principales cambios, redefine la participación de Colpensiones y los fondos privados, ajusta los requisitos para acceder a la pensión y amplía la cobertura de protección para adultos mayores sin pensión.</w:t>
      </w:r>
    </w:p>
    <w:p w14:paraId="7138B2F2" w14:textId="77777777" w:rsidR="00BE70E2" w:rsidRDefault="00BE70E2">
      <w:pPr>
        <w:spacing w:after="100" w:afterAutospacing="1"/>
      </w:pPr>
    </w:p>
    <w:p w14:paraId="2735D248" w14:textId="77777777" w:rsidR="00BE70E2" w:rsidRDefault="00000000">
      <w:pPr>
        <w:spacing w:after="100" w:afterAutospacing="1"/>
        <w:rPr>
          <w:rFonts w:ascii="Times New Roman" w:hAnsi="Times New Roman" w:cs="Times New Roman"/>
          <w:b/>
          <w:bCs/>
        </w:rPr>
      </w:pPr>
      <w:r>
        <w:rPr>
          <w:rFonts w:ascii="Times New Roman" w:eastAsia="SimSun" w:hAnsi="Times New Roman" w:cs="Times New Roman"/>
          <w:b/>
          <w:bCs/>
        </w:rPr>
        <w:lastRenderedPageBreak/>
        <w:t>3.4.7. Auto de la Corte Constitucional del 17 de junio de 2025 (Expediente D-15989)</w:t>
      </w:r>
    </w:p>
    <w:p w14:paraId="56D0E6A7" w14:textId="77777777" w:rsidR="00BE70E2" w:rsidRDefault="00000000">
      <w:pPr>
        <w:spacing w:after="100" w:afterAutospacing="1"/>
      </w:pPr>
      <w:r>
        <w:t>Este auto judicial constituye un hito en el análisis de la reforma, ya que la Corte Constitucional, de manera unánime, decretó la suspensión provisional de la entrada en vigor de la Ley 2381 de 2024. La decisión se fundamentó en la existencia de posibles vicios de procedimiento durante su debate en la Plenaria de la Cámara de Representantes. Como consecuencia, la Corte ordenó devolver el proyecto de ley a dicha corporación para que subsane el trámite.</w:t>
      </w:r>
    </w:p>
    <w:p w14:paraId="272D6DFC" w14:textId="77777777" w:rsidR="00BE70E2" w:rsidRDefault="00000000">
      <w:pPr>
        <w:spacing w:after="100" w:afterAutospacing="1"/>
      </w:pPr>
      <w:r>
        <w:t>Es importante destacar que la suspensión no fue total; la Corte dejó vigentes los artículos que permitían la "ventana de traslado" entre regímenes, con el fin de proteger las decisiones ya tomadas por miles de ciudadanos. Sin embargo, el cuerpo principal de la reforma quedó en suspenso hasta que se resuelva de fondo sobre su constitucionalidad, manteniendo la aplicación de la Ley 100 de 1993.</w:t>
      </w:r>
    </w:p>
    <w:p w14:paraId="14E123CE" w14:textId="77777777" w:rsidR="00BE70E2" w:rsidRDefault="00BE70E2">
      <w:pPr>
        <w:spacing w:after="100" w:afterAutospacing="1"/>
      </w:pPr>
    </w:p>
    <w:p w14:paraId="1C2765B6" w14:textId="77777777" w:rsidR="00BE70E2" w:rsidRDefault="00000000">
      <w:pPr>
        <w:pStyle w:val="Ttulo1"/>
        <w:spacing w:after="100" w:afterAutospacing="1"/>
        <w:jc w:val="both"/>
      </w:pPr>
      <w:bookmarkStart w:id="25" w:name="_Toc203825858"/>
      <w:r>
        <w:t>Diseño metodológico</w:t>
      </w:r>
      <w:bookmarkEnd w:id="25"/>
    </w:p>
    <w:p w14:paraId="2E75C2B9" w14:textId="77777777" w:rsidR="00BE70E2" w:rsidRDefault="00000000">
      <w:pPr>
        <w:pStyle w:val="Ttulo2"/>
        <w:spacing w:after="100" w:afterAutospacing="1"/>
        <w:ind w:firstLine="720"/>
      </w:pPr>
      <w:bookmarkStart w:id="26" w:name="_Toc203825859"/>
      <w:r>
        <w:t>4.1. Enfoque o paradigma</w:t>
      </w:r>
      <w:bookmarkEnd w:id="26"/>
    </w:p>
    <w:p w14:paraId="76BBF13F" w14:textId="77777777" w:rsidR="00BE70E2" w:rsidRDefault="00000000">
      <w:pPr>
        <w:spacing w:after="100" w:afterAutospacing="1"/>
        <w:rPr>
          <w:rFonts w:ascii="Times New Roman" w:hAnsi="Times New Roman" w:cs="Times New Roman"/>
        </w:rPr>
      </w:pPr>
      <w:r>
        <w:rPr>
          <w:rFonts w:ascii="Times New Roman" w:hAnsi="Times New Roman" w:cs="Times New Roman"/>
        </w:rPr>
        <w:t xml:space="preserve">El enfoque de esta investigación es cualitativo, dado que el estudio se centra en las implicaciones jurídicas de la reforma pensional en Colombia, analizando cómo afecta la sostenibilidad financiera del sistema y la equidad intergeneracional. Según </w:t>
      </w:r>
      <w:sdt>
        <w:sdtPr>
          <w:rPr>
            <w:rFonts w:ascii="Times New Roman" w:hAnsi="Times New Roman" w:cs="Times New Roman"/>
            <w:color w:val="000000"/>
          </w:rPr>
          <w:tag w:val="MENDELEY_CITATION_v3_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"/>
          <w:id w:val="1024977679"/>
          <w:placeholder>
            <w:docPart w:val="DefaultPlaceholder_-1854013440"/>
          </w:placeholder>
        </w:sdtPr>
        <w:sdtContent>
          <w:r>
            <w:rPr>
              <w:rFonts w:ascii="Times New Roman" w:hAnsi="Times New Roman" w:cs="Times New Roman"/>
              <w:color w:val="000000"/>
            </w:rPr>
            <w:t>Creswell (2014)</w:t>
          </w:r>
        </w:sdtContent>
      </w:sdt>
      <w:r>
        <w:rPr>
          <w:rFonts w:ascii="Times New Roman" w:hAnsi="Times New Roman" w:cs="Times New Roman"/>
          <w:color w:val="000000"/>
        </w:rPr>
        <w:t xml:space="preserve"> </w:t>
      </w:r>
      <w:r>
        <w:rPr>
          <w:rFonts w:ascii="Times New Roman" w:hAnsi="Times New Roman" w:cs="Times New Roman"/>
        </w:rPr>
        <w:t xml:space="preserve">el enfoque cualitativo es adecuado cuando se busca comprender fenómenos complejos desde la </w:t>
      </w:r>
      <w:r>
        <w:rPr>
          <w:rFonts w:ascii="Times New Roman" w:hAnsi="Times New Roman" w:cs="Times New Roman"/>
        </w:rPr>
        <w:lastRenderedPageBreak/>
        <w:t>perspectiva de los sujetos involucrados, especialmente cuando se abordan cuestiones de contexto social y cultural.</w:t>
      </w:r>
    </w:p>
    <w:p w14:paraId="2322E703" w14:textId="77777777" w:rsidR="00BE70E2" w:rsidRDefault="00000000">
      <w:pPr>
        <w:spacing w:after="100" w:afterAutospacing="1"/>
        <w:rPr>
          <w:rFonts w:ascii="Times New Roman" w:hAnsi="Times New Roman" w:cs="Times New Roman"/>
        </w:rPr>
      </w:pPr>
      <w:r>
        <w:rPr>
          <w:rFonts w:ascii="Times New Roman" w:hAnsi="Times New Roman" w:cs="Times New Roman"/>
        </w:rPr>
        <w:t xml:space="preserve">De acuerdo con </w:t>
      </w:r>
      <w:sdt>
        <w:sdtPr>
          <w:rPr>
            <w:rFonts w:ascii="Times New Roman" w:hAnsi="Times New Roman" w:cs="Times New Roman"/>
            <w:color w:val="000000"/>
          </w:rPr>
          <w:tag w:val="MENDELEY_CITATION_v3_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"/>
          <w:id w:val="-63951645"/>
          <w:placeholder>
            <w:docPart w:val="DefaultPlaceholder_-1854013440"/>
          </w:placeholder>
        </w:sdtPr>
        <w:sdtContent>
          <w:r>
            <w:rPr>
              <w:rFonts w:eastAsia="Times New Roman"/>
              <w:color w:val="000000"/>
            </w:rPr>
            <w:t>Denzin &amp; Lincoln (2012)</w:t>
          </w:r>
        </w:sdtContent>
      </w:sdt>
      <w:r>
        <w:rPr>
          <w:rFonts w:ascii="Times New Roman" w:hAnsi="Times New Roman" w:cs="Times New Roman"/>
        </w:rPr>
        <w:t>, el enfoque cualitativo se fundamenta en paradigmas interpretativos, los cuales permiten examinar las realidades subjetivas de los actores involucrados en un fenómeno social. En este caso, este enfoque es clave para analizar cómo los cambios introducidos por la Ley 2381 de 2024 son percibidos por los distintos sectores sociales y jurídicos, y cómo estos cambios impactan la garantía del derecho a la seguridad social y la sostenibilidad financiera del sistema pensional en Colombia.</w:t>
      </w:r>
    </w:p>
    <w:p w14:paraId="0D0531F0" w14:textId="77777777" w:rsidR="00BE70E2" w:rsidRDefault="00000000">
      <w:pPr>
        <w:pStyle w:val="Ttulo2"/>
        <w:spacing w:after="100" w:afterAutospacing="1"/>
        <w:ind w:firstLine="720"/>
      </w:pPr>
      <w:bookmarkStart w:id="27" w:name="_Toc203825860"/>
      <w:r>
        <w:t>4.2. Método</w:t>
      </w:r>
      <w:bookmarkEnd w:id="27"/>
    </w:p>
    <w:p w14:paraId="1B59817B" w14:textId="77777777" w:rsidR="00BE70E2" w:rsidRDefault="00000000">
      <w:pPr>
        <w:spacing w:after="100" w:afterAutospacing="1"/>
        <w:rPr>
          <w:rFonts w:ascii="Times New Roman" w:hAnsi="Times New Roman" w:cs="Times New Roman"/>
        </w:rPr>
      </w:pPr>
      <w:r>
        <w:rPr>
          <w:rFonts w:ascii="Times New Roman" w:hAnsi="Times New Roman" w:cs="Times New Roman"/>
        </w:rPr>
        <w:t xml:space="preserve">El método de investigación aplicable a este proyecto será el interpretativo-analítico, ya que a través de este proceso se dará respuesta a los interrogantes propuestos sobre las consecuencias jurídicas y socioeconómicas de la reforma pensional. En palabras de </w:t>
      </w:r>
      <w:sdt>
        <w:sdtPr>
          <w:rPr>
            <w:rFonts w:ascii="Times New Roman" w:hAnsi="Times New Roman" w:cs="Times New Roman"/>
            <w:color w:val="000000"/>
          </w:rPr>
          <w:tag w:val="MENDELEY_CITATION_v3_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"/>
          <w:id w:val="1220631385"/>
          <w:placeholder>
            <w:docPart w:val="DefaultPlaceholder_-1854013440"/>
          </w:placeholder>
        </w:sdtPr>
        <w:sdtContent>
          <w:r>
            <w:rPr>
              <w:rFonts w:ascii="Times New Roman" w:hAnsi="Times New Roman" w:cs="Times New Roman"/>
              <w:color w:val="000000"/>
            </w:rPr>
            <w:t>Hernández et al. (2014)</w:t>
          </w:r>
        </w:sdtContent>
      </w:sdt>
      <w:r>
        <w:rPr>
          <w:rFonts w:ascii="Times New Roman" w:hAnsi="Times New Roman" w:cs="Times New Roman"/>
        </w:rPr>
        <w:t>, en la investigación cualitativa "hay una realidad que descubrir, construir e interpretar, donde existen varias realidades subjetivas construidas en la investigación, las cuales varían en su forma y contenido entre individuos, grupos y culturas" (p. 10). Así, este análisis permitirá explorar cómo los principios constitucionales de progresividad, solidaridad y sostenibilidad financiera se ven afectados por la reforma pensional.</w:t>
      </w:r>
    </w:p>
    <w:p w14:paraId="53C9157D" w14:textId="77777777" w:rsidR="00BE70E2" w:rsidRDefault="00000000">
      <w:pPr>
        <w:pStyle w:val="Ttulo2"/>
        <w:spacing w:after="100" w:afterAutospacing="1"/>
        <w:ind w:firstLine="720"/>
      </w:pPr>
      <w:bookmarkStart w:id="28" w:name="_Toc534581667"/>
      <w:bookmarkStart w:id="29" w:name="_Toc203825861"/>
      <w:r>
        <w:t>4.3. T</w:t>
      </w:r>
      <w:bookmarkEnd w:id="28"/>
      <w:r>
        <w:t>ipo de investigación</w:t>
      </w:r>
      <w:bookmarkEnd w:id="29"/>
    </w:p>
    <w:p w14:paraId="644A3306" w14:textId="77777777" w:rsidR="00BE70E2" w:rsidRDefault="00000000">
      <w:pPr>
        <w:spacing w:after="100" w:afterAutospacing="1"/>
        <w:rPr>
          <w:rFonts w:ascii="Times New Roman" w:hAnsi="Times New Roman" w:cs="Times New Roman"/>
        </w:rPr>
      </w:pPr>
      <w:r>
        <w:rPr>
          <w:rFonts w:ascii="Times New Roman" w:hAnsi="Times New Roman" w:cs="Times New Roman"/>
        </w:rPr>
        <w:t xml:space="preserve">La investigación es de tipo descriptivo-exploratorio, puesto que, la investigación descriptiva tiene como objetivo especificar las características importantes de un fenómeno, mientras que la investigación exploratoria busca descubrir nuevas perspectivas y áreas que aún </w:t>
      </w:r>
      <w:r>
        <w:rPr>
          <w:rFonts w:ascii="Times New Roman" w:hAnsi="Times New Roman" w:cs="Times New Roman"/>
        </w:rPr>
        <w:lastRenderedPageBreak/>
        <w:t xml:space="preserve">no han sido profundamente investigadas </w:t>
      </w:r>
      <w:sdt>
        <w:sdtPr>
          <w:rPr>
            <w:rFonts w:ascii="Times New Roman" w:hAnsi="Times New Roman" w:cs="Times New Roman"/>
            <w:color w:val="000000"/>
          </w:rPr>
          <w:tag w:val="MENDELEY_CITATION_v3_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"/>
          <w:id w:val="44265784"/>
          <w:placeholder>
            <w:docPart w:val="DefaultPlaceholder_-1854013440"/>
          </w:placeholder>
        </w:sdtPr>
        <w:sdtContent>
          <w:r>
            <w:rPr>
              <w:rFonts w:ascii="Times New Roman" w:hAnsi="Times New Roman" w:cs="Times New Roman"/>
              <w:color w:val="000000"/>
            </w:rPr>
            <w:t>(Hernández et al., 2014)</w:t>
          </w:r>
        </w:sdtContent>
      </w:sdt>
      <w:r>
        <w:rPr>
          <w:rFonts w:ascii="Times New Roman" w:hAnsi="Times New Roman" w:cs="Times New Roman"/>
        </w:rPr>
        <w:t>. Este tipo de investigación es ideal para el estudio de las implicaciones jurídicas de la reforma pensional, dado que, aunque existen discusiones preliminares sobre el impacto financiero y social de la Ley 2381 de 2024, hay una escasa profundización académica en torno a su constitucionalidad y sus efectos a largo plazo sobre los derechos fundamentales por ser un tema novedoso.</w:t>
      </w:r>
    </w:p>
    <w:p w14:paraId="0D946C7C" w14:textId="77777777" w:rsidR="00BE70E2" w:rsidRDefault="00000000">
      <w:pPr>
        <w:pStyle w:val="Ttulo2"/>
        <w:spacing w:after="100" w:afterAutospacing="1"/>
        <w:ind w:firstLine="720"/>
      </w:pPr>
      <w:bookmarkStart w:id="30" w:name="_Toc203825862"/>
      <w:bookmarkStart w:id="31" w:name="_Toc534581668"/>
      <w:r>
        <w:t>4.4. Técnicas e instrumentos de recolección de datos</w:t>
      </w:r>
      <w:bookmarkEnd w:id="30"/>
      <w:r>
        <w:t xml:space="preserve"> </w:t>
      </w:r>
      <w:bookmarkEnd w:id="31"/>
      <w:r>
        <w:t xml:space="preserve"> </w:t>
      </w:r>
    </w:p>
    <w:p w14:paraId="12129BD4" w14:textId="77777777" w:rsidR="00BE70E2" w:rsidRDefault="00000000">
      <w:pPr>
        <w:spacing w:after="100" w:afterAutospacing="1"/>
        <w:rPr>
          <w:rFonts w:ascii="Times New Roman" w:hAnsi="Times New Roman" w:cs="Times New Roman"/>
          <w:color w:val="FF0000"/>
        </w:rPr>
      </w:pPr>
      <w:r>
        <w:rPr>
          <w:rFonts w:ascii="Times New Roman" w:hAnsi="Times New Roman" w:cs="Times New Roman"/>
        </w:rPr>
        <w:t xml:space="preserve">El análisis documental será la técnica principal de recolección de datos, incluyendo la revisión la Ley 2381 de 2024, así como las interpretaciones legales y constitucionales relacionadas con los principios de progresividad, solidaridad y sostenibilidad financiera, jurisprudencia relevante, normativa concordante, doctrina jurídica, artículos académicos indexados e informes oficiales. En este sentido, </w:t>
      </w:r>
      <w:sdt>
        <w:sdtPr>
          <w:rPr>
            <w:rFonts w:ascii="Times New Roman" w:hAnsi="Times New Roman" w:cs="Times New Roman"/>
            <w:color w:val="000000"/>
          </w:rPr>
          <w:tag w:val="MENDELEY_CITATION_v3_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"/>
          <w:id w:val="1571627004"/>
          <w:placeholder>
            <w:docPart w:val="DefaultPlaceholder_-1854013440"/>
          </w:placeholder>
        </w:sdtPr>
        <w:sdtContent>
          <w:r>
            <w:rPr>
              <w:rFonts w:ascii="Times New Roman" w:hAnsi="Times New Roman" w:cs="Times New Roman"/>
              <w:color w:val="000000"/>
            </w:rPr>
            <w:t>(Bowen, 2009)</w:t>
          </w:r>
        </w:sdtContent>
      </w:sdt>
      <w:r>
        <w:rPr>
          <w:rFonts w:ascii="Times New Roman" w:hAnsi="Times New Roman" w:cs="Times New Roman"/>
        </w:rPr>
        <w:t xml:space="preserve"> señala que el análisis documental es una herramienta valiosa en la investigación cualitativa, ya que permite complementar la información obtenida a través de entrevistas con datos concretos y evidencias escritas, proporcionando un marco más sólido para el análisis jurídico.</w:t>
      </w:r>
      <w:r>
        <w:rPr>
          <w:rFonts w:ascii="Times New Roman" w:hAnsi="Times New Roman" w:cs="Times New Roman"/>
          <w:color w:val="FF0000"/>
          <w:lang w:val="es-ES"/>
        </w:rPr>
        <w:t xml:space="preserve"> </w:t>
      </w:r>
    </w:p>
    <w:p w14:paraId="6EF0D221" w14:textId="77777777" w:rsidR="00BE70E2" w:rsidRDefault="00BE70E2">
      <w:pPr>
        <w:spacing w:after="100" w:afterAutospacing="1"/>
        <w:rPr>
          <w:rFonts w:ascii="Times New Roman" w:hAnsi="Times New Roman" w:cs="Times New Roman"/>
          <w:color w:val="FF0000"/>
        </w:rPr>
      </w:pPr>
    </w:p>
    <w:p w14:paraId="27BA2C15" w14:textId="77777777" w:rsidR="00BE70E2" w:rsidRDefault="00000000">
      <w:pPr>
        <w:pStyle w:val="Ttulo1"/>
        <w:spacing w:after="100" w:afterAutospacing="1"/>
      </w:pPr>
      <w:r>
        <w:rPr>
          <w:color w:val="FF0000"/>
        </w:rPr>
        <w:br w:type="column"/>
      </w:r>
      <w:bookmarkStart w:id="32" w:name="_Toc203825863"/>
      <w:r>
        <w:lastRenderedPageBreak/>
        <w:t>Capítulo 1. La reforma pensional en los trabajadores actuales y las futuras generaciones</w:t>
      </w:r>
      <w:bookmarkEnd w:id="32"/>
    </w:p>
    <w:p w14:paraId="2C39F147" w14:textId="77777777" w:rsidR="00BE70E2" w:rsidRDefault="00000000">
      <w:pPr>
        <w:spacing w:after="100" w:afterAutospacing="1"/>
        <w:rPr>
          <w:rFonts w:ascii="Times New Roman" w:eastAsia="Google Sans Text" w:hAnsi="Times New Roman" w:cs="Times New Roman"/>
          <w:color w:val="1B1C1D"/>
        </w:rPr>
      </w:pPr>
      <w:r>
        <w:rPr>
          <w:rFonts w:ascii="Times New Roman" w:eastAsia="Google Sans Text" w:hAnsi="Times New Roman" w:cs="Times New Roman"/>
          <w:color w:val="1B1C1D"/>
        </w:rPr>
        <w:t>Este capítulo examina en profundidad la Ley 2381 de 2024, una reforma pensional trascendental en Colombia que busca reestructurar el sistema de protección social para la vejez, invalidez y muerte. Promulgada en julio de 2024 y con una entrada en vigor escalonada a partir de julio de 2025, esta normativa aspira a ampliar la cobertura y garantizar una mayor equidad en el acceso a la seguridad social, impactando directamente las condiciones de vida de los trabajadores actuales y sentando las bases para las futuras generaciones. Se analizarán las repercusiones socioeconómicas de sus disposiciones, incluyendo la redistribución de aportes, el incremento de las cargas solidarias y los beneficios de transición.</w:t>
      </w:r>
    </w:p>
    <w:p w14:paraId="45EA0DDB" w14:textId="77777777" w:rsidR="00BE70E2" w:rsidRDefault="00000000">
      <w:pPr>
        <w:spacing w:after="100" w:afterAutospacing="1"/>
        <w:rPr>
          <w:rFonts w:ascii="Times New Roman" w:eastAsia="Google Sans Text" w:hAnsi="Times New Roman" w:cs="Times New Roman"/>
          <w:color w:val="1B1C1D"/>
        </w:rPr>
      </w:pPr>
      <w:r>
        <w:rPr>
          <w:rFonts w:ascii="Times New Roman" w:eastAsia="Google Sans Text" w:hAnsi="Times New Roman" w:cs="Times New Roman"/>
          <w:color w:val="1B1C1D"/>
        </w:rPr>
        <w:t xml:space="preserve">La Ley 2381 de 2024, sancionada y promulgada el 16 de julio de 2024, marca un hito en la legislación colombiana al establecer el "Sistema de Protección Social Integral para la Vejez, Invalidez y Muerte de origen común" </w:t>
      </w:r>
      <w:sdt>
        <w:sdtPr>
          <w:rPr>
            <w:rFonts w:ascii="Times New Roman" w:eastAsia="Google Sans Text" w:hAnsi="Times New Roman" w:cs="Times New Roman"/>
            <w:color w:val="000000"/>
          </w:rPr>
          <w:tag w:val="MENDELEY_CITATION_v3_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"/>
          <w:id w:val="-1753265379"/>
          <w:placeholder>
            <w:docPart w:val="6FBE3003E7FD4141B634ACFA0599E251"/>
          </w:placeholder>
        </w:sdtPr>
        <w:sdtContent>
          <w:r>
            <w:rPr>
              <w:rFonts w:ascii="Times New Roman" w:eastAsia="Google Sans Text" w:hAnsi="Times New Roman" w:cs="Times New Roman"/>
              <w:color w:val="000000"/>
            </w:rPr>
            <w:t>(Congreso de la República de Colombia, 2024)</w:t>
          </w:r>
        </w:sdtContent>
      </w:sdt>
      <w:r>
        <w:rPr>
          <w:rFonts w:ascii="Times New Roman" w:eastAsia="Google Sans Text" w:hAnsi="Times New Roman" w:cs="Times New Roman"/>
          <w:color w:val="1B1C1D"/>
        </w:rPr>
        <w:t xml:space="preserve">. Esta normativa busca reestructurar el sistema pensional con el fin de ampliar la cobertura y garantizar una mayor equidad en el acceso a la seguridad social, promoviendo una vejez digna para un segmento más amplio de la población colombiana </w:t>
      </w:r>
      <w:sdt>
        <w:sdtPr>
          <w:rPr>
            <w:rFonts w:ascii="Times New Roman" w:eastAsia="Google Sans Text" w:hAnsi="Times New Roman" w:cs="Times New Roman"/>
            <w:color w:val="000000"/>
          </w:rPr>
          <w:tag w:val="MENDELEY_CITATION_v3_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"/>
          <w:id w:val="1122115499"/>
          <w:placeholder>
            <w:docPart w:val="6FBE3003E7FD4141B634ACFA0599E251"/>
          </w:placeholder>
        </w:sdtPr>
        <w:sdtContent>
          <w:r>
            <w:rPr>
              <w:rFonts w:ascii="Times New Roman" w:eastAsia="Google Sans Text" w:hAnsi="Times New Roman" w:cs="Times New Roman"/>
              <w:color w:val="000000"/>
            </w:rPr>
            <w:t>(Simple, 2025)</w:t>
          </w:r>
        </w:sdtContent>
      </w:sdt>
      <w:r>
        <w:rPr>
          <w:rFonts w:ascii="Times New Roman" w:eastAsia="Google Sans Text" w:hAnsi="Times New Roman" w:cs="Times New Roman"/>
          <w:color w:val="1B1C1D"/>
        </w:rPr>
        <w:t>.</w:t>
      </w:r>
    </w:p>
    <w:p w14:paraId="3F2254F6" w14:textId="77777777" w:rsidR="00BE70E2" w:rsidRDefault="00000000">
      <w:pPr>
        <w:spacing w:after="100" w:afterAutospacing="1"/>
        <w:rPr>
          <w:rFonts w:ascii="Times New Roman" w:eastAsia="Google Sans Text" w:hAnsi="Times New Roman" w:cs="Times New Roman"/>
          <w:color w:val="1B1C1D"/>
        </w:rPr>
      </w:pPr>
      <w:r>
        <w:rPr>
          <w:rFonts w:ascii="Times New Roman" w:eastAsia="Google Sans Text" w:hAnsi="Times New Roman" w:cs="Times New Roman"/>
          <w:color w:val="1B1C1D"/>
        </w:rPr>
        <w:t xml:space="preserve">La entrada en vigor general de la Ley 2381 de 2024 está programada para el 1 de julio de 2025. Sin embargo, es importante señalar que algunos artículos específicos de la ley ya se encuentran en vigor. Tal es el caso del Artículo 12, que concierne a los afiliados a Colpensiones no cubiertos por el régimen de transición, y el Artículo 76, que regula la oportunidad de traslado entre regímenes pensionales para mujeres con 750 semanas cotizadas y hombres con 900 semanas </w:t>
      </w:r>
      <w:sdt>
        <w:sdtPr>
          <w:rPr>
            <w:rFonts w:ascii="Times New Roman" w:eastAsia="Google Sans Text" w:hAnsi="Times New Roman" w:cs="Times New Roman"/>
            <w:color w:val="000000"/>
          </w:rPr>
          <w:tag w:val="MENDELEY_CITATION_v3_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"/>
          <w:id w:val="-437835760"/>
          <w:placeholder>
            <w:docPart w:val="6FBE3003E7FD4141B634ACFA0599E251"/>
          </w:placeholder>
        </w:sdtPr>
        <w:sdtContent>
          <w:r>
            <w:rPr>
              <w:rFonts w:ascii="Times New Roman" w:eastAsia="Google Sans Text" w:hAnsi="Times New Roman" w:cs="Times New Roman"/>
              <w:color w:val="000000"/>
            </w:rPr>
            <w:t>(Simple, 2025)</w:t>
          </w:r>
        </w:sdtContent>
      </w:sdt>
      <w:r>
        <w:rPr>
          <w:rFonts w:ascii="Times New Roman" w:eastAsia="Google Sans Text" w:hAnsi="Times New Roman" w:cs="Times New Roman"/>
          <w:color w:val="1B1C1D"/>
        </w:rPr>
        <w:t xml:space="preserve">. El nuevo sistema de pilares aplicará a todos los ciudadanos colombianos, tanto residentes en el país como en el exterior, que al 30 de junio de 2025 tengan </w:t>
      </w:r>
      <w:r>
        <w:rPr>
          <w:rFonts w:ascii="Times New Roman" w:eastAsia="Google Sans Text" w:hAnsi="Times New Roman" w:cs="Times New Roman"/>
          <w:color w:val="1B1C1D"/>
        </w:rPr>
        <w:lastRenderedPageBreak/>
        <w:t xml:space="preserve">menos de 750 semanas cotizadas en el caso de las mujeres o menos de 900 semanas cotizadas para los hombres </w:t>
      </w:r>
      <w:sdt>
        <w:sdtPr>
          <w:rPr>
            <w:rFonts w:ascii="Times New Roman" w:eastAsia="Google Sans Text" w:hAnsi="Times New Roman" w:cs="Times New Roman"/>
            <w:color w:val="000000"/>
          </w:rPr>
          <w:tag w:val="MENDELEY_CITATION_v3_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"/>
          <w:id w:val="1739359538"/>
          <w:placeholder>
            <w:docPart w:val="DefaultPlaceholder_-1854013440"/>
          </w:placeholder>
        </w:sdtPr>
        <w:sdtContent>
          <w:r>
            <w:rPr>
              <w:rFonts w:eastAsia="Times New Roman"/>
              <w:color w:val="000000"/>
            </w:rPr>
            <w:t>(Pérez &amp; Lozano, 2024)</w:t>
          </w:r>
        </w:sdtContent>
      </w:sdt>
      <w:r>
        <w:rPr>
          <w:rFonts w:ascii="Times New Roman" w:eastAsia="Google Sans Text" w:hAnsi="Times New Roman" w:cs="Times New Roman"/>
          <w:color w:val="1B1C1D"/>
        </w:rPr>
        <w:t xml:space="preserve">. </w:t>
      </w:r>
    </w:p>
    <w:p w14:paraId="2322495F" w14:textId="77777777" w:rsidR="00BE70E2" w:rsidRDefault="00000000">
      <w:pPr>
        <w:spacing w:after="100" w:afterAutospacing="1"/>
        <w:rPr>
          <w:rFonts w:ascii="Times New Roman" w:eastAsia="Google Sans Text" w:hAnsi="Times New Roman" w:cs="Times New Roman"/>
          <w:color w:val="1B1C1D"/>
        </w:rPr>
      </w:pPr>
      <w:r>
        <w:rPr>
          <w:rFonts w:ascii="Times New Roman" w:eastAsia="Google Sans Text" w:hAnsi="Times New Roman" w:cs="Times New Roman"/>
          <w:color w:val="1B1C1D"/>
        </w:rPr>
        <w:t xml:space="preserve">Es relevante destacar que la ley no se aplicará a aquellas personas que ya hayan obtenido una pensión de vejez o invalidez, o cualquier otra prestación en el Sistema General de Pensiones o en los regímenes especiales o exceptuados </w:t>
      </w:r>
      <w:sdt>
        <w:sdtPr>
          <w:rPr>
            <w:rFonts w:ascii="Times New Roman" w:eastAsia="Google Sans Text" w:hAnsi="Times New Roman" w:cs="Times New Roman"/>
            <w:color w:val="000000"/>
          </w:rPr>
          <w:tag w:val="MENDELEY_CITATION_v3_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"/>
          <w:id w:val="-2029403550"/>
          <w:placeholder>
            <w:docPart w:val="DefaultPlaceholder_-1854013440"/>
          </w:placeholder>
        </w:sdtPr>
        <w:sdtContent>
          <w:r>
            <w:rPr>
              <w:rFonts w:ascii="Times New Roman" w:eastAsia="Google Sans Text" w:hAnsi="Times New Roman" w:cs="Times New Roman"/>
              <w:color w:val="000000"/>
            </w:rPr>
            <w:t>(Ruiz, 2025)</w:t>
          </w:r>
        </w:sdtContent>
      </w:sdt>
      <w:r>
        <w:rPr>
          <w:rFonts w:ascii="Times New Roman" w:eastAsia="Google Sans Text" w:hAnsi="Times New Roman" w:cs="Times New Roman"/>
          <w:color w:val="000000"/>
        </w:rPr>
        <w:t xml:space="preserve">. </w:t>
      </w:r>
      <w:r>
        <w:rPr>
          <w:rFonts w:ascii="Times New Roman" w:eastAsia="Google Sans Text" w:hAnsi="Times New Roman" w:cs="Times New Roman"/>
          <w:color w:val="1B1C1D"/>
        </w:rPr>
        <w:t xml:space="preserve">La implementación escalonada de la Ley 2381 de 2024, al establecer una entrada en vigor general diferida, pero activando anticipadamente disposiciones clave como la "ventana de traslado", revela una estrategia legislativa deliberada. Esta aproximación no es meramente un detalle administrativo, sino un mecanismo para gestionar la transición, lo que permite traslados antes de la plena obligatoriedad del nuevo sistema, la ley busca que los ciudadanos tomen decisiones informadas sobre su afiliación, lo que podría fortalecer la defensa de la norma frente a eventuales desafíos constitucionales. </w:t>
      </w:r>
    </w:p>
    <w:p w14:paraId="7565797B" w14:textId="77777777" w:rsidR="00BE70E2" w:rsidRDefault="00000000">
      <w:pPr>
        <w:pStyle w:val="Descripcin"/>
        <w:rPr>
          <w:rFonts w:ascii="Times New Roman" w:eastAsia="Google Sans" w:hAnsi="Times New Roman" w:cs="Times New Roman"/>
          <w:color w:val="1B1C1D"/>
          <w:sz w:val="24"/>
          <w:szCs w:val="24"/>
        </w:rPr>
      </w:pPr>
      <w:bookmarkStart w:id="33" w:name="_Toc198910476"/>
      <w:r>
        <w:rPr>
          <w:b/>
          <w:bCs/>
          <w:i w:val="0"/>
          <w:iCs w:val="0"/>
          <w:sz w:val="24"/>
          <w:szCs w:val="24"/>
        </w:rPr>
        <w:t xml:space="preserve">Tabla </w:t>
      </w:r>
      <w:r>
        <w:rPr>
          <w:b/>
          <w:bCs/>
          <w:i w:val="0"/>
          <w:iCs w:val="0"/>
          <w:sz w:val="24"/>
          <w:szCs w:val="24"/>
        </w:rPr>
        <w:fldChar w:fldCharType="begin"/>
      </w:r>
      <w:r>
        <w:rPr>
          <w:b/>
          <w:bCs/>
          <w:i w:val="0"/>
          <w:iCs w:val="0"/>
          <w:sz w:val="24"/>
          <w:szCs w:val="24"/>
        </w:rPr>
        <w:instrText xml:space="preserve"> SEQ Tabla \* ARABIC </w:instrText>
      </w:r>
      <w:r>
        <w:rPr>
          <w:b/>
          <w:bCs/>
          <w:i w:val="0"/>
          <w:iCs w:val="0"/>
          <w:sz w:val="24"/>
          <w:szCs w:val="24"/>
        </w:rPr>
        <w:fldChar w:fldCharType="separate"/>
      </w:r>
      <w:r>
        <w:rPr>
          <w:b/>
          <w:bCs/>
          <w:i w:val="0"/>
          <w:iCs w:val="0"/>
          <w:sz w:val="24"/>
          <w:szCs w:val="24"/>
        </w:rPr>
        <w:t>1</w:t>
      </w:r>
      <w:r>
        <w:rPr>
          <w:b/>
          <w:bCs/>
          <w:i w:val="0"/>
          <w:iCs w:val="0"/>
          <w:sz w:val="24"/>
          <w:szCs w:val="24"/>
        </w:rPr>
        <w:fldChar w:fldCharType="end"/>
      </w:r>
      <w:r>
        <w:rPr>
          <w:rFonts w:ascii="Times New Roman" w:eastAsia="Google Sans" w:hAnsi="Times New Roman" w:cs="Times New Roman"/>
          <w:b/>
          <w:bCs/>
          <w:i w:val="0"/>
          <w:iCs w:val="0"/>
          <w:color w:val="1B1C1D"/>
          <w:sz w:val="24"/>
          <w:szCs w:val="24"/>
        </w:rPr>
        <w:t>: Criterios</w:t>
      </w:r>
      <w:r>
        <w:rPr>
          <w:rFonts w:ascii="Times New Roman" w:eastAsia="Google Sans" w:hAnsi="Times New Roman" w:cs="Times New Roman"/>
          <w:b/>
          <w:i w:val="0"/>
          <w:color w:val="1B1C1D"/>
          <w:sz w:val="24"/>
          <w:szCs w:val="24"/>
        </w:rPr>
        <w:t xml:space="preserve"> del Régimen de Transición (Ley 2381 de 2024)</w:t>
      </w:r>
      <w:bookmarkEnd w:id="33"/>
    </w:p>
    <w:tbl>
      <w:tblPr>
        <w:tblStyle w:val="Tablaconcuadrcula1clara1"/>
        <w:tblW w:w="9360" w:type="dxa"/>
        <w:tblLayout w:type="fixed"/>
        <w:tblLook w:val="04A0" w:firstRow="1" w:lastRow="0" w:firstColumn="1" w:lastColumn="0" w:noHBand="0" w:noVBand="1"/>
      </w:tblPr>
      <w:tblGrid>
        <w:gridCol w:w="2340"/>
        <w:gridCol w:w="2340"/>
        <w:gridCol w:w="2340"/>
        <w:gridCol w:w="2340"/>
      </w:tblGrid>
      <w:tr w:rsidR="00BE70E2" w14:paraId="4DBF1DD6" w14:textId="77777777" w:rsidTr="00BE70E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tcPr>
          <w:p w14:paraId="50F257D2" w14:textId="77777777" w:rsidR="00BE70E2" w:rsidRDefault="00000000">
            <w:pPr>
              <w:spacing w:before="120" w:after="120" w:line="240" w:lineRule="auto"/>
              <w:ind w:firstLine="0"/>
              <w:rPr>
                <w:rFonts w:ascii="Times New Roman" w:eastAsia="Google Sans Text" w:hAnsi="Times New Roman" w:cs="Times New Roman"/>
                <w:b w:val="0"/>
                <w:color w:val="1B1C1D"/>
              </w:rPr>
            </w:pPr>
            <w:r>
              <w:rPr>
                <w:rFonts w:ascii="Times New Roman" w:eastAsia="Google Sans Text" w:hAnsi="Times New Roman" w:cs="Times New Roman"/>
                <w:color w:val="1B1C1D"/>
              </w:rPr>
              <w:t>Grupo de Afiliados</w:t>
            </w:r>
          </w:p>
        </w:tc>
        <w:tc>
          <w:tcPr>
            <w:tcW w:w="2340" w:type="dxa"/>
          </w:tcPr>
          <w:p w14:paraId="7C20021B" w14:textId="77777777" w:rsidR="00BE70E2" w:rsidRDefault="00000000">
            <w:pPr>
              <w:spacing w:before="120" w:after="120" w:line="240" w:lineRule="auto"/>
              <w:ind w:firstLine="0"/>
              <w:cnfStyle w:val="100000000000" w:firstRow="1" w:lastRow="0" w:firstColumn="0" w:lastColumn="0" w:oddVBand="0" w:evenVBand="0" w:oddHBand="0" w:evenHBand="0" w:firstRowFirstColumn="0" w:firstRowLastColumn="0" w:lastRowFirstColumn="0" w:lastRowLastColumn="0"/>
              <w:rPr>
                <w:rFonts w:ascii="Times New Roman" w:eastAsia="Google Sans Text" w:hAnsi="Times New Roman" w:cs="Times New Roman"/>
                <w:b w:val="0"/>
                <w:color w:val="1B1C1D"/>
              </w:rPr>
            </w:pPr>
            <w:r>
              <w:rPr>
                <w:rFonts w:ascii="Times New Roman" w:eastAsia="Google Sans Text" w:hAnsi="Times New Roman" w:cs="Times New Roman"/>
                <w:color w:val="1B1C1D"/>
              </w:rPr>
              <w:t>Semanas Cotizadas al 30 de junio de 2025</w:t>
            </w:r>
          </w:p>
        </w:tc>
        <w:tc>
          <w:tcPr>
            <w:tcW w:w="2340" w:type="dxa"/>
          </w:tcPr>
          <w:p w14:paraId="72FDB872" w14:textId="77777777" w:rsidR="00BE70E2" w:rsidRDefault="00000000">
            <w:pPr>
              <w:spacing w:before="120" w:after="120" w:line="240" w:lineRule="auto"/>
              <w:ind w:firstLine="0"/>
              <w:cnfStyle w:val="100000000000" w:firstRow="1" w:lastRow="0" w:firstColumn="0" w:lastColumn="0" w:oddVBand="0" w:evenVBand="0" w:oddHBand="0" w:evenHBand="0" w:firstRowFirstColumn="0" w:firstRowLastColumn="0" w:lastRowFirstColumn="0" w:lastRowLastColumn="0"/>
              <w:rPr>
                <w:rFonts w:ascii="Times New Roman" w:eastAsia="Google Sans Text" w:hAnsi="Times New Roman" w:cs="Times New Roman"/>
                <w:b w:val="0"/>
                <w:color w:val="1B1C1D"/>
              </w:rPr>
            </w:pPr>
            <w:r>
              <w:rPr>
                <w:rFonts w:ascii="Times New Roman" w:eastAsia="Google Sans Text" w:hAnsi="Times New Roman" w:cs="Times New Roman"/>
                <w:color w:val="1B1C1D"/>
              </w:rPr>
              <w:t>Régimen Aplicable</w:t>
            </w:r>
          </w:p>
        </w:tc>
        <w:tc>
          <w:tcPr>
            <w:tcW w:w="2340" w:type="dxa"/>
          </w:tcPr>
          <w:p w14:paraId="0A99EA53" w14:textId="77777777" w:rsidR="00BE70E2" w:rsidRDefault="00000000">
            <w:pPr>
              <w:spacing w:before="120" w:after="120" w:line="240" w:lineRule="auto"/>
              <w:ind w:firstLine="0"/>
              <w:cnfStyle w:val="100000000000" w:firstRow="1" w:lastRow="0" w:firstColumn="0" w:lastColumn="0" w:oddVBand="0" w:evenVBand="0" w:oddHBand="0" w:evenHBand="0" w:firstRowFirstColumn="0" w:firstRowLastColumn="0" w:lastRowFirstColumn="0" w:lastRowLastColumn="0"/>
              <w:rPr>
                <w:rFonts w:ascii="Times New Roman" w:eastAsia="Google Sans Text" w:hAnsi="Times New Roman" w:cs="Times New Roman"/>
                <w:b w:val="0"/>
                <w:color w:val="1B1C1D"/>
              </w:rPr>
            </w:pPr>
            <w:r>
              <w:rPr>
                <w:rFonts w:ascii="Times New Roman" w:eastAsia="Google Sans Text" w:hAnsi="Times New Roman" w:cs="Times New Roman"/>
                <w:color w:val="1B1C1D"/>
              </w:rPr>
              <w:t>Oportunidad de Traslado</w:t>
            </w:r>
          </w:p>
        </w:tc>
      </w:tr>
      <w:tr w:rsidR="00BE70E2" w14:paraId="41D6D8C9" w14:textId="77777777" w:rsidTr="00BE70E2">
        <w:tc>
          <w:tcPr>
            <w:cnfStyle w:val="001000000000" w:firstRow="0" w:lastRow="0" w:firstColumn="1" w:lastColumn="0" w:oddVBand="0" w:evenVBand="0" w:oddHBand="0" w:evenHBand="0" w:firstRowFirstColumn="0" w:firstRowLastColumn="0" w:lastRowFirstColumn="0" w:lastRowLastColumn="0"/>
            <w:tcW w:w="2340" w:type="dxa"/>
          </w:tcPr>
          <w:p w14:paraId="37E8709C" w14:textId="77777777" w:rsidR="00BE70E2" w:rsidRDefault="00000000">
            <w:pPr>
              <w:spacing w:before="120" w:after="120" w:line="240" w:lineRule="auto"/>
              <w:ind w:firstLine="0"/>
              <w:rPr>
                <w:rFonts w:ascii="Times New Roman" w:eastAsia="Google Sans Text" w:hAnsi="Times New Roman" w:cs="Times New Roman"/>
                <w:b w:val="0"/>
                <w:color w:val="1B1C1D"/>
              </w:rPr>
            </w:pPr>
            <w:r>
              <w:rPr>
                <w:rFonts w:ascii="Times New Roman" w:eastAsia="Google Sans Text" w:hAnsi="Times New Roman" w:cs="Times New Roman"/>
                <w:color w:val="1B1C1D"/>
              </w:rPr>
              <w:t>Mujeres</w:t>
            </w:r>
          </w:p>
        </w:tc>
        <w:tc>
          <w:tcPr>
            <w:tcW w:w="2340" w:type="dxa"/>
          </w:tcPr>
          <w:p w14:paraId="6B34F0A7"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750 o más semanas</w:t>
            </w:r>
          </w:p>
        </w:tc>
        <w:tc>
          <w:tcPr>
            <w:tcW w:w="2340" w:type="dxa"/>
          </w:tcPr>
          <w:p w14:paraId="69012AA8"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Ley 100 de 1993</w:t>
            </w:r>
          </w:p>
        </w:tc>
        <w:tc>
          <w:tcPr>
            <w:tcW w:w="2340" w:type="dxa"/>
          </w:tcPr>
          <w:p w14:paraId="6CCE4FC3"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Sí, si tienen 47 años o más (ventana de 2 años: 01/07/2025 - 01/07/2027)</w:t>
            </w:r>
          </w:p>
        </w:tc>
      </w:tr>
      <w:tr w:rsidR="00BE70E2" w14:paraId="3FBF12F9" w14:textId="77777777" w:rsidTr="00BE70E2">
        <w:tc>
          <w:tcPr>
            <w:cnfStyle w:val="001000000000" w:firstRow="0" w:lastRow="0" w:firstColumn="1" w:lastColumn="0" w:oddVBand="0" w:evenVBand="0" w:oddHBand="0" w:evenHBand="0" w:firstRowFirstColumn="0" w:firstRowLastColumn="0" w:lastRowFirstColumn="0" w:lastRowLastColumn="0"/>
            <w:tcW w:w="2340" w:type="dxa"/>
          </w:tcPr>
          <w:p w14:paraId="6A47750D" w14:textId="77777777" w:rsidR="00BE70E2" w:rsidRDefault="00000000">
            <w:pPr>
              <w:spacing w:before="120" w:after="120" w:line="240" w:lineRule="auto"/>
              <w:ind w:firstLine="0"/>
              <w:rPr>
                <w:rFonts w:ascii="Times New Roman" w:eastAsia="Google Sans Text" w:hAnsi="Times New Roman" w:cs="Times New Roman"/>
                <w:b w:val="0"/>
                <w:color w:val="1B1C1D"/>
              </w:rPr>
            </w:pPr>
            <w:r>
              <w:rPr>
                <w:rFonts w:ascii="Times New Roman" w:eastAsia="Google Sans Text" w:hAnsi="Times New Roman" w:cs="Times New Roman"/>
                <w:color w:val="1B1C1D"/>
              </w:rPr>
              <w:t>Hombres</w:t>
            </w:r>
          </w:p>
        </w:tc>
        <w:tc>
          <w:tcPr>
            <w:tcW w:w="2340" w:type="dxa"/>
          </w:tcPr>
          <w:p w14:paraId="5262725A"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900 o más semanas</w:t>
            </w:r>
          </w:p>
        </w:tc>
        <w:tc>
          <w:tcPr>
            <w:tcW w:w="2340" w:type="dxa"/>
          </w:tcPr>
          <w:p w14:paraId="25C9BF7D"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Ley 100 de 1993</w:t>
            </w:r>
          </w:p>
        </w:tc>
        <w:tc>
          <w:tcPr>
            <w:tcW w:w="2340" w:type="dxa"/>
          </w:tcPr>
          <w:p w14:paraId="47C3DB40"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Sí, si tienen 52 años o más (ventana de 2 años: 01/07/2025 - 01/07/2027)</w:t>
            </w:r>
          </w:p>
        </w:tc>
      </w:tr>
    </w:tbl>
    <w:p w14:paraId="2047A370" w14:textId="77777777" w:rsidR="00BE70E2" w:rsidRDefault="00000000">
      <w:pPr>
        <w:spacing w:after="240"/>
        <w:ind w:firstLine="0"/>
        <w:rPr>
          <w:rFonts w:ascii="Times New Roman" w:eastAsia="Google Sans Text" w:hAnsi="Times New Roman" w:cs="Times New Roman"/>
          <w:color w:val="1B1C1D"/>
        </w:rPr>
      </w:pPr>
      <w:r>
        <w:rPr>
          <w:rFonts w:ascii="Times New Roman" w:eastAsia="Google Sans Text" w:hAnsi="Times New Roman" w:cs="Times New Roman"/>
          <w:i/>
          <w:iCs/>
          <w:color w:val="1B1C1D"/>
        </w:rPr>
        <w:t>Nota:</w:t>
      </w:r>
      <w:r>
        <w:rPr>
          <w:rFonts w:ascii="Times New Roman" w:eastAsia="Google Sans Text" w:hAnsi="Times New Roman" w:cs="Times New Roman"/>
          <w:color w:val="1B1C1D"/>
        </w:rPr>
        <w:t xml:space="preserve"> elaboración propia a partir de la ley 2381 de 2024.</w:t>
      </w:r>
    </w:p>
    <w:p w14:paraId="7755D660"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lastRenderedPageBreak/>
        <w:t xml:space="preserve">Esta ventana de traslado obedece al principio de progresividad y no regresividad el cual es fundamental en el derecho constitucional colombiano, especialmente en lo que respecta a los derechos laborales y de la seguridad social. Este principio, consagrado en tratados y convenios internacionales como el Artículo 2 del </w:t>
      </w:r>
      <w:sdt>
        <w:sdtPr>
          <w:rPr>
            <w:rFonts w:ascii="Times New Roman" w:eastAsia="Google Sans Text" w:hAnsi="Times New Roman" w:cs="Times New Roman"/>
            <w:color w:val="000000"/>
          </w:rPr>
          <w:tag w:val="MENDELEY_CITATION_v3_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"/>
          <w:id w:val="1677307743"/>
          <w:placeholder>
            <w:docPart w:val="AA00B44AA3464E4986C73BA490D87D50"/>
          </w:placeholder>
        </w:sdtPr>
        <w:sdtContent>
          <w:r>
            <w:rPr>
              <w:rFonts w:ascii="Times New Roman" w:eastAsia="Google Sans Text" w:hAnsi="Times New Roman" w:cs="Times New Roman"/>
              <w:color w:val="000000"/>
            </w:rPr>
            <w:t>(Instituto Interamericano de Derechos Humanos (IIDH), 1992)</w:t>
          </w:r>
        </w:sdtContent>
      </w:sdt>
      <w:r>
        <w:rPr>
          <w:rFonts w:ascii="Times New Roman" w:eastAsia="Google Sans Text" w:hAnsi="Times New Roman" w:cs="Times New Roman"/>
          <w:color w:val="1B1C1D"/>
        </w:rPr>
        <w:t xml:space="preserve">, establece que, una vez alcanzado un nivel de protección en un derecho social, el Estado tiene la obligación de no retroceder en su garantía. Cualquier medida que implique una regresión en estos derechos debe estar justificada por "imperiosas razones" que deben ser demostradas de manera clara y suficiente durante el trámite legislativo </w:t>
      </w:r>
      <w:sdt>
        <w:sdtPr>
          <w:rPr>
            <w:rFonts w:ascii="Times New Roman" w:eastAsia="Google Sans Text" w:hAnsi="Times New Roman" w:cs="Times New Roman"/>
            <w:color w:val="000000"/>
          </w:rPr>
          <w:tag w:val="MENDELEY_CITATION_v3_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"/>
          <w:id w:val="-1635013458"/>
          <w:placeholder>
            <w:docPart w:val="AA00B44AA3464E4986C73BA490D87D50"/>
          </w:placeholder>
        </w:sdtPr>
        <w:sdtContent>
          <w:r>
            <w:rPr>
              <w:rFonts w:ascii="Times New Roman" w:eastAsia="Google Sans Text" w:hAnsi="Times New Roman" w:cs="Times New Roman"/>
              <w:color w:val="000000"/>
            </w:rPr>
            <w:t>(Corte Suprema de Justicia de Colombia, 2023)</w:t>
          </w:r>
        </w:sdtContent>
      </w:sdt>
      <w:r>
        <w:rPr>
          <w:rFonts w:ascii="Times New Roman" w:eastAsia="Google Sans Text" w:hAnsi="Times New Roman" w:cs="Times New Roman"/>
          <w:color w:val="1B1C1D"/>
        </w:rPr>
        <w:t xml:space="preserve">. En concordancia con lo anterior, la Procuraduría General de la Nación ha reportado que más de 40.000 personas ya han utilizado esta ventana para trasladarse a Colpensiones </w:t>
      </w:r>
      <w:sdt>
        <w:sdtPr>
          <w:rPr>
            <w:rFonts w:ascii="Times New Roman" w:eastAsia="Google Sans Text" w:hAnsi="Times New Roman" w:cs="Times New Roman"/>
            <w:color w:val="000000"/>
          </w:rPr>
          <w:tag w:val="MENDELEY_CITATION_v3_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"/>
          <w:id w:val="769133150"/>
          <w:placeholder>
            <w:docPart w:val="DefaultPlaceholder_-1854013440"/>
          </w:placeholder>
        </w:sdtPr>
        <w:sdtContent>
          <w:r>
            <w:rPr>
              <w:rFonts w:ascii="Times New Roman" w:eastAsia="Google Sans Text" w:hAnsi="Times New Roman" w:cs="Times New Roman"/>
              <w:color w:val="000000"/>
            </w:rPr>
            <w:t>(Moreno, 2025)</w:t>
          </w:r>
        </w:sdtContent>
      </w:sdt>
      <w:r>
        <w:rPr>
          <w:rFonts w:ascii="Times New Roman" w:eastAsia="Google Sans Text" w:hAnsi="Times New Roman" w:cs="Times New Roman"/>
          <w:color w:val="1B1C1D"/>
        </w:rPr>
        <w:t>, lo que demuestra la efectividad de esta estrategia en la reconfiguración anticipada del sistema y la consolidación de una base de afiliados en el régimen público antes de la obligatoriedad general, lo anterior sugiere un esfuerzo por suavizar la transición y reducir la percepción de un cambio abrupto o impuesto a ciertos segmentos de la población.</w:t>
      </w:r>
    </w:p>
    <w:p w14:paraId="330E2726" w14:textId="77777777" w:rsidR="00BE70E2" w:rsidRDefault="00000000">
      <w:pPr>
        <w:pStyle w:val="Ttulo2"/>
      </w:pPr>
      <w:bookmarkStart w:id="34" w:name="_Toc203825864"/>
      <w:r>
        <w:t>5.2. Ley 2381 y sus modificaciones al régimen pensional</w:t>
      </w:r>
      <w:bookmarkEnd w:id="34"/>
    </w:p>
    <w:p w14:paraId="4100A376" w14:textId="77777777" w:rsidR="00BE70E2" w:rsidRDefault="00000000">
      <w:pPr>
        <w:spacing w:before="240" w:after="240"/>
        <w:rPr>
          <w:rFonts w:ascii="Times New Roman" w:eastAsia="Google Sans Text" w:hAnsi="Times New Roman" w:cs="Times New Roman"/>
          <w:color w:val="1B1C1D"/>
        </w:rPr>
      </w:pPr>
      <w:r>
        <w:rPr>
          <w:rFonts w:ascii="Times New Roman" w:eastAsia="Google Sans Text" w:hAnsi="Times New Roman" w:cs="Times New Roman"/>
          <w:color w:val="1B1C1D"/>
        </w:rPr>
        <w:t>La Ley 2381 de 2024 introduce un sistema pensional estructurado en cuatro pilares, diseñado con el propósito de optimizar la distribución de recursos y ampliar la cobertura de la seguridad social en Colombia. Estos pilares son el Solidario, Semicontributivo, Contributivo y de Ahorro Voluntario, cada uno con objetivos y características específicas.</w:t>
      </w:r>
    </w:p>
    <w:p w14:paraId="508BCAB8" w14:textId="77777777" w:rsidR="00BE70E2" w:rsidRDefault="00000000">
      <w:pPr>
        <w:spacing w:before="240" w:after="240"/>
        <w:rPr>
          <w:rFonts w:ascii="Times New Roman" w:eastAsia="Google Sans Text" w:hAnsi="Times New Roman" w:cs="Times New Roman"/>
          <w:color w:val="1B1C1D"/>
        </w:rPr>
      </w:pPr>
      <w:r>
        <w:rPr>
          <w:rFonts w:ascii="Times New Roman" w:eastAsia="Google Sans Text" w:hAnsi="Times New Roman" w:cs="Times New Roman"/>
          <w:color w:val="1B1C1D"/>
        </w:rPr>
        <w:t xml:space="preserve">En primer lugar, el Pilar Solidario tiene como fin primordial proporcionar una renta básica a aquellas personas que no cumplen con los requisitos para acceder a una pensión contributiva. Su población objetivo incluye a ciudadanos colombianos residentes en el territorio </w:t>
      </w:r>
      <w:r>
        <w:rPr>
          <w:rFonts w:ascii="Times New Roman" w:eastAsia="Google Sans Text" w:hAnsi="Times New Roman" w:cs="Times New Roman"/>
          <w:color w:val="1B1C1D"/>
        </w:rPr>
        <w:lastRenderedPageBreak/>
        <w:t xml:space="preserve">nacional que se encuentren en situación de pobreza extrema, pobreza o vulnerabilidad. Esto abarca a hombres mayores de 65 años y mujeres mayores de 60 años, o a hombres mayores de 55 años con discapacidad y mujeres mayores de 50 años que posean una pérdida de capacidad laboral igual o superior al 50% </w:t>
      </w:r>
      <w:sdt>
        <w:sdtPr>
          <w:rPr>
            <w:rFonts w:ascii="Times New Roman" w:eastAsia="Google Sans Text" w:hAnsi="Times New Roman" w:cs="Times New Roman"/>
            <w:color w:val="000000"/>
          </w:rPr>
          <w:tag w:val="MENDELEY_CITATION_v3_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"/>
          <w:id w:val="-1910455166"/>
          <w:placeholder>
            <w:docPart w:val="DefaultPlaceholder_-1854013440"/>
          </w:placeholder>
        </w:sdtPr>
        <w:sdtContent>
          <w:r>
            <w:rPr>
              <w:rFonts w:ascii="Times New Roman" w:eastAsia="Google Sans Text" w:hAnsi="Times New Roman" w:cs="Times New Roman"/>
              <w:color w:val="000000"/>
            </w:rPr>
            <w:t>(Actualícese, 2024)</w:t>
          </w:r>
        </w:sdtContent>
      </w:sdt>
      <w:r>
        <w:rPr>
          <w:rFonts w:ascii="Times New Roman" w:eastAsia="Google Sans Text" w:hAnsi="Times New Roman" w:cs="Times New Roman"/>
          <w:color w:val="1B1C1D"/>
        </w:rPr>
        <w:t xml:space="preserve">. </w:t>
      </w:r>
    </w:p>
    <w:p w14:paraId="1DECE16B" w14:textId="77777777" w:rsidR="00BE70E2" w:rsidRDefault="00000000">
      <w:pPr>
        <w:spacing w:before="240" w:after="240"/>
        <w:rPr>
          <w:rFonts w:ascii="Times New Roman" w:eastAsia="Google Sans Text" w:hAnsi="Times New Roman" w:cs="Times New Roman"/>
          <w:color w:val="1B1C1D"/>
        </w:rPr>
      </w:pPr>
      <w:r>
        <w:rPr>
          <w:rFonts w:ascii="Times New Roman" w:eastAsia="Google Sans Text" w:hAnsi="Times New Roman" w:cs="Times New Roman"/>
          <w:color w:val="1B1C1D"/>
        </w:rPr>
        <w:t>Para ser beneficiario, se requiere haber residido en Colombia por al menos 10 años inmediatamente anteriores a la fecha de solicitud y no percibir otra pensión. El beneficio consiste en una renta vitalicia que no podrá exceder el 80% del salario mínimo, lo que equivale aproximadamente a $223.000 COP, y no es sustituible por muerte ni heredable. Su financiamiento se realiza solidariamente con recursos del Presupuesto General de la Nación y de la Subcuenta de Subsistencia del Fondo de Solidaridad Pensional, aunque algunos análisis sugieren que este subsidio podría financiarse directamente con el presupuesto nacional sin necesidad de utilizar los ahorros de los trabajadores</w:t>
      </w:r>
      <w:sdt>
        <w:sdtPr>
          <w:rPr>
            <w:rFonts w:ascii="Times New Roman" w:eastAsia="Google Sans Text" w:hAnsi="Times New Roman" w:cs="Times New Roman"/>
            <w:color w:val="000000"/>
          </w:rPr>
          <w:tag w:val="MENDELEY_CITATION_v3_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"/>
          <w:id w:val="-71204980"/>
          <w:placeholder>
            <w:docPart w:val="DefaultPlaceholder_-1854013440"/>
          </w:placeholder>
        </w:sdtPr>
        <w:sdtContent>
          <w:r>
            <w:rPr>
              <w:rFonts w:ascii="Times New Roman" w:eastAsia="Google Sans Text" w:hAnsi="Times New Roman" w:cs="Times New Roman"/>
              <w:color w:val="000000"/>
            </w:rPr>
            <w:t>(Clavijo, 2023; Organización Internacional del Trabajo [OIT], 2025)</w:t>
          </w:r>
        </w:sdtContent>
      </w:sdt>
      <w:r>
        <w:rPr>
          <w:rFonts w:ascii="Times New Roman" w:eastAsia="Google Sans Text" w:hAnsi="Times New Roman" w:cs="Times New Roman"/>
          <w:color w:val="1B1C1D"/>
        </w:rPr>
        <w:t>.</w:t>
      </w:r>
    </w:p>
    <w:p w14:paraId="239080EB" w14:textId="77777777" w:rsidR="00BE70E2" w:rsidRDefault="00000000">
      <w:pPr>
        <w:spacing w:before="240" w:after="240"/>
        <w:rPr>
          <w:rFonts w:ascii="Times New Roman" w:eastAsia="Google Sans Text" w:hAnsi="Times New Roman" w:cs="Times New Roman"/>
          <w:color w:val="1B1C1D"/>
        </w:rPr>
      </w:pPr>
      <w:r>
        <w:rPr>
          <w:rFonts w:ascii="Times New Roman" w:eastAsia="Google Sans Text" w:hAnsi="Times New Roman" w:cs="Times New Roman"/>
          <w:color w:val="1B1C1D"/>
        </w:rPr>
        <w:t xml:space="preserve">En segundo lugar, el Pilar Semicontributivo está dirigido a individuos que, habiendo cotizado al sistema, no lograron cumplir con los requisitos para una pensión integral de vejez, pero que acumulan entre 300 y menos de 1.000 semanas cotizadas. Los beneficiarios de este pilar acceden a una renta vitalicia, cuyo monto será inferior a un salario mínimo y su financiamiento proviene de recursos del Presupuesto General de la Nación y de los propios aportes de los afiliados </w:t>
      </w:r>
      <w:sdt>
        <w:sdtPr>
          <w:rPr>
            <w:rFonts w:ascii="Times New Roman" w:eastAsia="Google Sans Text" w:hAnsi="Times New Roman" w:cs="Times New Roman"/>
            <w:color w:val="000000"/>
          </w:rPr>
          <w:tag w:val="MENDELEY_CITATION_v3_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"/>
          <w:id w:val="1101616682"/>
          <w:placeholder>
            <w:docPart w:val="DefaultPlaceholder_-1854013440"/>
          </w:placeholder>
        </w:sdtPr>
        <w:sdtContent>
          <w:r>
            <w:rPr>
              <w:rFonts w:ascii="Times New Roman" w:eastAsia="Google Sans Text" w:hAnsi="Times New Roman" w:cs="Times New Roman"/>
              <w:color w:val="000000"/>
            </w:rPr>
            <w:t>(Simple, 2025)</w:t>
          </w:r>
        </w:sdtContent>
      </w:sdt>
      <w:r>
        <w:rPr>
          <w:rFonts w:ascii="Times New Roman" w:eastAsia="Google Sans Text" w:hAnsi="Times New Roman" w:cs="Times New Roman"/>
          <w:color w:val="1B1C1D"/>
        </w:rPr>
        <w:t>.</w:t>
      </w:r>
    </w:p>
    <w:p w14:paraId="79AE6FF0" w14:textId="77777777" w:rsidR="00BE70E2" w:rsidRDefault="00000000">
      <w:pPr>
        <w:spacing w:before="240" w:after="240"/>
        <w:rPr>
          <w:rFonts w:ascii="Times New Roman" w:eastAsia="Google Sans Text" w:hAnsi="Times New Roman" w:cs="Times New Roman"/>
          <w:color w:val="1B1C1D"/>
        </w:rPr>
      </w:pPr>
      <w:r>
        <w:rPr>
          <w:rFonts w:ascii="Times New Roman" w:eastAsia="Google Sans Text" w:hAnsi="Times New Roman" w:cs="Times New Roman"/>
          <w:color w:val="1B1C1D"/>
        </w:rPr>
        <w:t xml:space="preserve">En tercer lugar, el Pilar Contributivo es el componente central del Sistema de Protección Social Integral para la Vejez, con el propósito de garantizar una Pensión Integral de Vejez, además de cubrir contingencias de invalidez y muerte, a través de un esquema de aportes </w:t>
      </w:r>
      <w:r>
        <w:rPr>
          <w:rFonts w:ascii="Times New Roman" w:eastAsia="Google Sans Text" w:hAnsi="Times New Roman" w:cs="Times New Roman"/>
          <w:color w:val="1B1C1D"/>
        </w:rPr>
        <w:lastRenderedPageBreak/>
        <w:t>obligatorios que combina la solidaridad y la responsabilidad individual. Este pilar se estructura en dos componentes. Por un lado, el componente de Prima Media (Colpensiones), dirigido a todos los afiliados que perciben ingresos base de cotización (IBC) entre 1 y 2.3 salarios mínimos legales mensuales vigentes (SMLMV), cuyas cotizaciones se destinan a un fondo común administrado por Colpensiones</w:t>
      </w:r>
      <w:sdt>
        <w:sdtPr>
          <w:rPr>
            <w:rFonts w:ascii="Times New Roman" w:eastAsia="Google Sans Text" w:hAnsi="Times New Roman" w:cs="Times New Roman"/>
            <w:color w:val="000000"/>
          </w:rPr>
          <w:tag w:val="MENDELEY_CITATION_v3_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"/>
          <w:id w:val="1419528589"/>
          <w:placeholder>
            <w:docPart w:val="DefaultPlaceholder_-1854013440"/>
          </w:placeholder>
        </w:sdtPr>
        <w:sdtContent>
          <w:r>
            <w:rPr>
              <w:rFonts w:ascii="Times New Roman" w:eastAsia="Google Sans Text" w:hAnsi="Times New Roman" w:cs="Times New Roman"/>
              <w:color w:val="000000"/>
            </w:rPr>
            <w:t>(Congreso de la República de Colombia, 2024)</w:t>
          </w:r>
        </w:sdtContent>
      </w:sdt>
      <w:r>
        <w:rPr>
          <w:rFonts w:ascii="Times New Roman" w:eastAsia="Google Sans Text" w:hAnsi="Times New Roman" w:cs="Times New Roman"/>
          <w:color w:val="1B1C1D"/>
        </w:rPr>
        <w:t xml:space="preserve">, bajo un esquema de prestación definida, lo que implica que los afiliados reciben una pensión calculada con base en las semanas cotizadas y el IBC, siempre y cuando cumplan con los requisitos establecidos en la ley. Este componente garantiza una pensión mínima para aquellos afiliados que no logran acumular suficientes semanas, mediante un sistema solidario. </w:t>
      </w:r>
    </w:p>
    <w:p w14:paraId="34094FB6" w14:textId="77777777" w:rsidR="00BE70E2" w:rsidRDefault="00000000">
      <w:pPr>
        <w:spacing w:before="240" w:after="240"/>
        <w:rPr>
          <w:rFonts w:ascii="Times New Roman" w:eastAsia="Google Sans Text" w:hAnsi="Times New Roman" w:cs="Times New Roman"/>
          <w:color w:val="1B1C1D"/>
        </w:rPr>
      </w:pPr>
      <w:r>
        <w:rPr>
          <w:rFonts w:ascii="Times New Roman" w:eastAsia="Google Sans Text" w:hAnsi="Times New Roman" w:cs="Times New Roman"/>
          <w:color w:val="1B1C1D"/>
        </w:rPr>
        <w:t>Por otro lado, el Componente Complementario de Ahorro Individual (ACCAI) aplica a los afiliados con ingresos superiores a 2.3 SMLMV y hasta 25 SMLMV. En este caso, las cotizaciones por la parte del ingreso que exceda este límite se destinan a cuentas individuales de ahorro administradas por fondos de pensiones privados o públicos, las cuales generan rendimientos financieros que complementan la pensión básica de Prima Media. Los afiliados a este componente podrán escoger y trasladarse libremente entre entidades administradoras cada seis meses y, la Pensión Integral de Vejez se compondrá de la suma de los beneficios generados en ambos componentes, integrando los aportes realizados en Prima Media y Ahorro Individual para determinar un único monto de pensión. La tasa de cotización es del 16% del ingreso base, distribuida entre empleadores (75%) y trabajadores (25%)</w:t>
      </w:r>
      <w:sdt>
        <w:sdtPr>
          <w:rPr>
            <w:rFonts w:ascii="Times New Roman" w:eastAsia="Google Sans Text" w:hAnsi="Times New Roman" w:cs="Times New Roman"/>
            <w:color w:val="000000"/>
          </w:rPr>
          <w:tag w:val="MENDELEY_CITATION_v3_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"/>
          <w:id w:val="-849790751"/>
          <w:placeholder>
            <w:docPart w:val="DefaultPlaceholder_-1854013440"/>
          </w:placeholder>
        </w:sdtPr>
        <w:sdtContent>
          <w:r>
            <w:rPr>
              <w:rFonts w:ascii="Times New Roman" w:eastAsia="Google Sans Text" w:hAnsi="Times New Roman" w:cs="Times New Roman"/>
              <w:color w:val="000000"/>
            </w:rPr>
            <w:t>(Congreso de la República de Colombia, 2024)</w:t>
          </w:r>
        </w:sdtContent>
      </w:sdt>
      <w:r>
        <w:rPr>
          <w:rFonts w:ascii="Times New Roman" w:eastAsia="Google Sans Text" w:hAnsi="Times New Roman" w:cs="Times New Roman"/>
          <w:color w:val="1B1C1D"/>
        </w:rPr>
        <w:t>. Adicionalmente, se imponen aportes extra para quienes perciben ingresos superiores a 4 SMLMV, destinados al Fondo de Solidaridad Pensional, cubriendo igualmente las pensiones de invalidez y sobrevivientes.</w:t>
      </w:r>
    </w:p>
    <w:p w14:paraId="6443C6F7" w14:textId="77777777" w:rsidR="00BE70E2" w:rsidRDefault="00000000">
      <w:pPr>
        <w:spacing w:before="240" w:after="240"/>
        <w:rPr>
          <w:rFonts w:ascii="Times New Roman" w:eastAsia="Google Sans Text" w:hAnsi="Times New Roman" w:cs="Times New Roman"/>
          <w:color w:val="1B1C1D"/>
        </w:rPr>
      </w:pPr>
      <w:r>
        <w:rPr>
          <w:rFonts w:ascii="Times New Roman" w:eastAsia="Google Sans Text" w:hAnsi="Times New Roman" w:cs="Times New Roman"/>
          <w:color w:val="1B1C1D"/>
        </w:rPr>
        <w:lastRenderedPageBreak/>
        <w:t xml:space="preserve">Finalmente, el Pilar de Ahorro Voluntario, el cual está diseñado para complementar el sistema pensional mediante el incentivo al ahorro individual de los afiliados que deseen mejorar el monto de su pensión integral, de manera opcional y permite a las personas destinar recursos adicionales, fuera de las cotizaciones obligatorias, con el fin de incrementar su protección económica en la vejez </w:t>
      </w:r>
      <w:sdt>
        <w:sdtPr>
          <w:rPr>
            <w:rFonts w:ascii="Times New Roman" w:eastAsia="Google Sans Text" w:hAnsi="Times New Roman" w:cs="Times New Roman"/>
            <w:color w:val="000000"/>
          </w:rPr>
          <w:tag w:val="MENDELEY_CITATION_v3_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"/>
          <w:id w:val="-382339363"/>
          <w:placeholder>
            <w:docPart w:val="DefaultPlaceholder_-1854013440"/>
          </w:placeholder>
        </w:sdtPr>
        <w:sdtContent>
          <w:r>
            <w:rPr>
              <w:rFonts w:ascii="Times New Roman" w:eastAsia="Google Sans Text" w:hAnsi="Times New Roman" w:cs="Times New Roman"/>
              <w:color w:val="000000"/>
            </w:rPr>
            <w:t>(Colfondos, 2025)</w:t>
          </w:r>
        </w:sdtContent>
      </w:sdt>
      <w:r>
        <w:rPr>
          <w:rFonts w:ascii="Times New Roman" w:eastAsia="Google Sans Text" w:hAnsi="Times New Roman" w:cs="Times New Roman"/>
          <w:color w:val="1B1C1D"/>
        </w:rPr>
        <w:t xml:space="preserve">. Los aportes realizados en este pilar son gestionados a través de los mecanismos existentes en el sistema financiero, lo que otorga flexibilidad a los ahorradores en cuanto a las opciones de inversión disponibles. Una de las características clave de este pilar es la inembargabilidad de los aportes voluntarios, lo que protege el ahorro frente a posibles reclamaciones judiciales o embargos, garantizando que los recursos se destinen exclusivamente a fines pensionales. </w:t>
      </w:r>
    </w:p>
    <w:p w14:paraId="1734E75F" w14:textId="77777777" w:rsidR="00BE70E2" w:rsidRDefault="00000000">
      <w:pPr>
        <w:spacing w:before="240" w:after="240"/>
        <w:rPr>
          <w:rFonts w:ascii="Times New Roman" w:eastAsia="Google Sans Text" w:hAnsi="Times New Roman" w:cs="Times New Roman"/>
          <w:color w:val="1B1C1D"/>
        </w:rPr>
      </w:pPr>
      <w:r>
        <w:rPr>
          <w:rFonts w:ascii="Times New Roman" w:eastAsia="Google Sans Text" w:hAnsi="Times New Roman" w:cs="Times New Roman"/>
          <w:color w:val="1B1C1D"/>
        </w:rPr>
        <w:t>El sistema de pilares, y en particular la obligatoriedad de cotizar hasta 2.3 SMLMV en Colpensiones, se reglamenta como “una manifestación extrema de solidaridad”, dado que esta disposición implica que la mayoría de los trabajadores colombianos verán la totalidad de sus aportes dirigidos al régimen público. Esta medida, si bien fortalece la solidaridad al centralizar una base contributiva más amplia en el sistema público, también limita significativamente la elección individual de régimen pensional que existía previamente. Se observa una redefinición del contrato social pensional, donde la primacía de la solidaridad colectiva sobre la autonomía individual en la gestión del ahorro pensional se hace explícita, lo que genera debates sobre la eficiencia y la rentabilidad de los fondos gestionados públicamente en comparación con los privados.</w:t>
      </w:r>
    </w:p>
    <w:p w14:paraId="639CE1BB" w14:textId="77777777" w:rsidR="00BE70E2" w:rsidRDefault="00BE70E2">
      <w:pPr>
        <w:spacing w:before="240" w:after="240"/>
        <w:rPr>
          <w:rFonts w:ascii="Times New Roman" w:eastAsia="Google Sans Text" w:hAnsi="Times New Roman" w:cs="Times New Roman"/>
          <w:color w:val="1B1C1D"/>
        </w:rPr>
      </w:pPr>
    </w:p>
    <w:p w14:paraId="148CA1F2" w14:textId="77777777" w:rsidR="00BE70E2" w:rsidRDefault="00BE70E2">
      <w:pPr>
        <w:spacing w:before="240" w:after="240"/>
        <w:rPr>
          <w:rFonts w:ascii="Times New Roman" w:eastAsia="Google Sans Text" w:hAnsi="Times New Roman" w:cs="Times New Roman"/>
          <w:color w:val="1B1C1D"/>
        </w:rPr>
      </w:pPr>
    </w:p>
    <w:p w14:paraId="722D80AD" w14:textId="77777777" w:rsidR="00BE70E2" w:rsidRDefault="00000000">
      <w:pPr>
        <w:pStyle w:val="Descripcin"/>
        <w:rPr>
          <w:rFonts w:ascii="Times New Roman" w:eastAsia="Google Sans" w:hAnsi="Times New Roman" w:cs="Times New Roman"/>
          <w:color w:val="1B1C1D"/>
          <w:sz w:val="24"/>
          <w:szCs w:val="24"/>
        </w:rPr>
      </w:pPr>
      <w:bookmarkStart w:id="35" w:name="_Toc198910477"/>
      <w:r>
        <w:rPr>
          <w:rFonts w:ascii="Times New Roman" w:eastAsia="Google Sans" w:hAnsi="Times New Roman" w:cs="Times New Roman"/>
          <w:b/>
          <w:i w:val="0"/>
          <w:color w:val="1B1C1D"/>
          <w:sz w:val="24"/>
          <w:szCs w:val="24"/>
        </w:rPr>
        <w:lastRenderedPageBreak/>
        <w:t>Tabla</w:t>
      </w:r>
      <w:r>
        <w:rPr>
          <w:b/>
          <w:bCs/>
          <w:i w:val="0"/>
          <w:iCs w:val="0"/>
          <w:sz w:val="24"/>
          <w:szCs w:val="24"/>
        </w:rPr>
        <w:t xml:space="preserve"> </w:t>
      </w:r>
      <w:r>
        <w:rPr>
          <w:b/>
          <w:bCs/>
          <w:i w:val="0"/>
          <w:iCs w:val="0"/>
          <w:sz w:val="24"/>
          <w:szCs w:val="24"/>
        </w:rPr>
        <w:fldChar w:fldCharType="begin"/>
      </w:r>
      <w:r>
        <w:rPr>
          <w:b/>
          <w:bCs/>
          <w:i w:val="0"/>
          <w:iCs w:val="0"/>
          <w:sz w:val="24"/>
          <w:szCs w:val="24"/>
        </w:rPr>
        <w:instrText xml:space="preserve"> SEQ Tabla \* ARABIC </w:instrText>
      </w:r>
      <w:r>
        <w:rPr>
          <w:b/>
          <w:bCs/>
          <w:i w:val="0"/>
          <w:iCs w:val="0"/>
          <w:sz w:val="24"/>
          <w:szCs w:val="24"/>
        </w:rPr>
        <w:fldChar w:fldCharType="separate"/>
      </w:r>
      <w:r>
        <w:rPr>
          <w:b/>
          <w:bCs/>
          <w:i w:val="0"/>
          <w:iCs w:val="0"/>
          <w:sz w:val="24"/>
          <w:szCs w:val="24"/>
        </w:rPr>
        <w:t>2</w:t>
      </w:r>
      <w:r>
        <w:rPr>
          <w:b/>
          <w:bCs/>
          <w:i w:val="0"/>
          <w:iCs w:val="0"/>
          <w:sz w:val="24"/>
          <w:szCs w:val="24"/>
        </w:rPr>
        <w:fldChar w:fldCharType="end"/>
      </w:r>
      <w:r>
        <w:rPr>
          <w:rFonts w:ascii="Times New Roman" w:eastAsia="Google Sans" w:hAnsi="Times New Roman" w:cs="Times New Roman"/>
          <w:b/>
          <w:bCs/>
          <w:i w:val="0"/>
          <w:iCs w:val="0"/>
          <w:color w:val="1B1C1D"/>
          <w:sz w:val="24"/>
          <w:szCs w:val="24"/>
        </w:rPr>
        <w:t>: Estructura</w:t>
      </w:r>
      <w:r>
        <w:rPr>
          <w:rFonts w:ascii="Times New Roman" w:eastAsia="Google Sans" w:hAnsi="Times New Roman" w:cs="Times New Roman"/>
          <w:b/>
          <w:i w:val="0"/>
          <w:color w:val="1B1C1D"/>
          <w:sz w:val="24"/>
          <w:szCs w:val="24"/>
        </w:rPr>
        <w:t xml:space="preserve"> y Beneficiarios del Sistema de Pilares (Ley 2381 de 2024)</w:t>
      </w:r>
      <w:bookmarkEnd w:id="35"/>
    </w:p>
    <w:tbl>
      <w:tblPr>
        <w:tblStyle w:val="Tablaconcuadrcula1clara-nfasis31"/>
        <w:tblW w:w="9490" w:type="dxa"/>
        <w:tblLayout w:type="fixed"/>
        <w:tblLook w:val="04A0" w:firstRow="1" w:lastRow="0" w:firstColumn="1" w:lastColumn="0" w:noHBand="0" w:noVBand="1"/>
      </w:tblPr>
      <w:tblGrid>
        <w:gridCol w:w="2260"/>
        <w:gridCol w:w="1421"/>
        <w:gridCol w:w="2126"/>
        <w:gridCol w:w="1681"/>
        <w:gridCol w:w="2002"/>
      </w:tblGrid>
      <w:tr w:rsidR="00BE70E2" w14:paraId="22058338" w14:textId="77777777" w:rsidTr="00BE70E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0" w:type="dxa"/>
          </w:tcPr>
          <w:p w14:paraId="56AE5CCA" w14:textId="77777777" w:rsidR="00BE70E2" w:rsidRDefault="00000000">
            <w:pPr>
              <w:spacing w:before="120" w:after="120" w:line="240" w:lineRule="auto"/>
              <w:ind w:firstLine="0"/>
              <w:rPr>
                <w:rFonts w:ascii="Times New Roman" w:eastAsia="Google Sans Text" w:hAnsi="Times New Roman" w:cs="Times New Roman"/>
                <w:b w:val="0"/>
                <w:color w:val="1B1C1D"/>
              </w:rPr>
            </w:pPr>
            <w:r>
              <w:rPr>
                <w:rFonts w:ascii="Times New Roman" w:eastAsia="Google Sans Text" w:hAnsi="Times New Roman" w:cs="Times New Roman"/>
                <w:color w:val="1B1C1D"/>
              </w:rPr>
              <w:t>Pilar</w:t>
            </w:r>
          </w:p>
        </w:tc>
        <w:tc>
          <w:tcPr>
            <w:tcW w:w="1421" w:type="dxa"/>
          </w:tcPr>
          <w:p w14:paraId="7A2A999B" w14:textId="77777777" w:rsidR="00BE70E2" w:rsidRDefault="00000000">
            <w:pPr>
              <w:spacing w:before="120" w:after="120" w:line="240" w:lineRule="auto"/>
              <w:ind w:firstLine="0"/>
              <w:cnfStyle w:val="100000000000" w:firstRow="1" w:lastRow="0" w:firstColumn="0" w:lastColumn="0" w:oddVBand="0" w:evenVBand="0" w:oddHBand="0" w:evenHBand="0" w:firstRowFirstColumn="0" w:firstRowLastColumn="0" w:lastRowFirstColumn="0" w:lastRowLastColumn="0"/>
              <w:rPr>
                <w:rFonts w:ascii="Times New Roman" w:eastAsia="Google Sans Text" w:hAnsi="Times New Roman" w:cs="Times New Roman"/>
                <w:b w:val="0"/>
                <w:color w:val="1B1C1D"/>
              </w:rPr>
            </w:pPr>
            <w:r>
              <w:rPr>
                <w:rFonts w:ascii="Times New Roman" w:eastAsia="Google Sans Text" w:hAnsi="Times New Roman" w:cs="Times New Roman"/>
                <w:color w:val="1B1C1D"/>
              </w:rPr>
              <w:t>Objetivo/</w:t>
            </w:r>
          </w:p>
          <w:p w14:paraId="4F53C28C" w14:textId="77777777" w:rsidR="00BE70E2" w:rsidRDefault="00000000">
            <w:pPr>
              <w:spacing w:before="120" w:after="120" w:line="240" w:lineRule="auto"/>
              <w:ind w:firstLine="0"/>
              <w:cnfStyle w:val="100000000000" w:firstRow="1" w:lastRow="0" w:firstColumn="0" w:lastColumn="0" w:oddVBand="0" w:evenVBand="0" w:oddHBand="0" w:evenHBand="0" w:firstRowFirstColumn="0" w:firstRowLastColumn="0" w:lastRowFirstColumn="0" w:lastRowLastColumn="0"/>
              <w:rPr>
                <w:rFonts w:ascii="Times New Roman" w:eastAsia="Google Sans Text" w:hAnsi="Times New Roman" w:cs="Times New Roman"/>
                <w:b w:val="0"/>
                <w:color w:val="1B1C1D"/>
              </w:rPr>
            </w:pPr>
            <w:r>
              <w:rPr>
                <w:rFonts w:ascii="Times New Roman" w:eastAsia="Google Sans Text" w:hAnsi="Times New Roman" w:cs="Times New Roman"/>
                <w:color w:val="1B1C1D"/>
              </w:rPr>
              <w:t>Propósito</w:t>
            </w:r>
          </w:p>
        </w:tc>
        <w:tc>
          <w:tcPr>
            <w:tcW w:w="2126" w:type="dxa"/>
          </w:tcPr>
          <w:p w14:paraId="5B5B5CC9" w14:textId="77777777" w:rsidR="00BE70E2" w:rsidRDefault="00000000">
            <w:pPr>
              <w:spacing w:before="120" w:after="120" w:line="240" w:lineRule="auto"/>
              <w:ind w:firstLine="0"/>
              <w:cnfStyle w:val="100000000000" w:firstRow="1" w:lastRow="0" w:firstColumn="0" w:lastColumn="0" w:oddVBand="0" w:evenVBand="0" w:oddHBand="0" w:evenHBand="0" w:firstRowFirstColumn="0" w:firstRowLastColumn="0" w:lastRowFirstColumn="0" w:lastRowLastColumn="0"/>
              <w:rPr>
                <w:rFonts w:ascii="Times New Roman" w:eastAsia="Google Sans Text" w:hAnsi="Times New Roman" w:cs="Times New Roman"/>
                <w:b w:val="0"/>
                <w:color w:val="1B1C1D"/>
              </w:rPr>
            </w:pPr>
            <w:r>
              <w:rPr>
                <w:rFonts w:ascii="Times New Roman" w:eastAsia="Google Sans Text" w:hAnsi="Times New Roman" w:cs="Times New Roman"/>
                <w:color w:val="1B1C1D"/>
              </w:rPr>
              <w:t>Población Objetivo</w:t>
            </w:r>
          </w:p>
        </w:tc>
        <w:tc>
          <w:tcPr>
            <w:tcW w:w="1681" w:type="dxa"/>
          </w:tcPr>
          <w:p w14:paraId="5B036262" w14:textId="77777777" w:rsidR="00BE70E2" w:rsidRDefault="00000000">
            <w:pPr>
              <w:spacing w:before="120" w:after="120" w:line="240" w:lineRule="auto"/>
              <w:ind w:firstLine="0"/>
              <w:cnfStyle w:val="100000000000" w:firstRow="1" w:lastRow="0" w:firstColumn="0" w:lastColumn="0" w:oddVBand="0" w:evenVBand="0" w:oddHBand="0" w:evenHBand="0" w:firstRowFirstColumn="0" w:firstRowLastColumn="0" w:lastRowFirstColumn="0" w:lastRowLastColumn="0"/>
              <w:rPr>
                <w:rFonts w:ascii="Times New Roman" w:eastAsia="Google Sans Text" w:hAnsi="Times New Roman" w:cs="Times New Roman"/>
                <w:b w:val="0"/>
                <w:color w:val="1B1C1D"/>
              </w:rPr>
            </w:pPr>
            <w:r>
              <w:rPr>
                <w:rFonts w:ascii="Times New Roman" w:eastAsia="Google Sans Text" w:hAnsi="Times New Roman" w:cs="Times New Roman"/>
                <w:color w:val="1B1C1D"/>
              </w:rPr>
              <w:t>Beneficio Clave</w:t>
            </w:r>
          </w:p>
        </w:tc>
        <w:tc>
          <w:tcPr>
            <w:tcW w:w="2002" w:type="dxa"/>
          </w:tcPr>
          <w:p w14:paraId="2BE241DD" w14:textId="77777777" w:rsidR="00BE70E2" w:rsidRDefault="00000000">
            <w:pPr>
              <w:spacing w:before="120" w:after="120" w:line="240" w:lineRule="auto"/>
              <w:ind w:firstLine="0"/>
              <w:cnfStyle w:val="100000000000" w:firstRow="1" w:lastRow="0" w:firstColumn="0" w:lastColumn="0" w:oddVBand="0" w:evenVBand="0" w:oddHBand="0" w:evenHBand="0" w:firstRowFirstColumn="0" w:firstRowLastColumn="0" w:lastRowFirstColumn="0" w:lastRowLastColumn="0"/>
              <w:rPr>
                <w:rFonts w:ascii="Times New Roman" w:eastAsia="Google Sans Text" w:hAnsi="Times New Roman" w:cs="Times New Roman"/>
                <w:b w:val="0"/>
                <w:color w:val="1B1C1D"/>
              </w:rPr>
            </w:pPr>
            <w:r>
              <w:rPr>
                <w:rFonts w:ascii="Times New Roman" w:eastAsia="Google Sans Text" w:hAnsi="Times New Roman" w:cs="Times New Roman"/>
                <w:color w:val="1B1C1D"/>
              </w:rPr>
              <w:t>Fuente de Financiamiento</w:t>
            </w:r>
          </w:p>
        </w:tc>
      </w:tr>
      <w:tr w:rsidR="00BE70E2" w14:paraId="18C93375" w14:textId="77777777" w:rsidTr="00BE70E2">
        <w:tc>
          <w:tcPr>
            <w:cnfStyle w:val="001000000000" w:firstRow="0" w:lastRow="0" w:firstColumn="1" w:lastColumn="0" w:oddVBand="0" w:evenVBand="0" w:oddHBand="0" w:evenHBand="0" w:firstRowFirstColumn="0" w:firstRowLastColumn="0" w:lastRowFirstColumn="0" w:lastRowLastColumn="0"/>
            <w:tcW w:w="2260" w:type="dxa"/>
          </w:tcPr>
          <w:p w14:paraId="4887BD35" w14:textId="77777777" w:rsidR="00BE70E2" w:rsidRDefault="00000000">
            <w:pPr>
              <w:spacing w:before="120" w:after="120" w:line="240" w:lineRule="auto"/>
              <w:ind w:firstLine="0"/>
              <w:rPr>
                <w:rFonts w:ascii="Times New Roman" w:eastAsia="Google Sans Text" w:hAnsi="Times New Roman" w:cs="Times New Roman"/>
                <w:b w:val="0"/>
                <w:color w:val="1B1C1D"/>
              </w:rPr>
            </w:pPr>
            <w:r>
              <w:rPr>
                <w:rFonts w:ascii="Times New Roman" w:eastAsia="Google Sans Text" w:hAnsi="Times New Roman" w:cs="Times New Roman"/>
                <w:color w:val="1B1C1D"/>
              </w:rPr>
              <w:t>Solidario</w:t>
            </w:r>
          </w:p>
        </w:tc>
        <w:tc>
          <w:tcPr>
            <w:tcW w:w="1421" w:type="dxa"/>
          </w:tcPr>
          <w:p w14:paraId="1A726722"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Proporcionar renta básica a quienes no cumplen requisitos pensionales.</w:t>
            </w:r>
          </w:p>
        </w:tc>
        <w:tc>
          <w:tcPr>
            <w:tcW w:w="2126" w:type="dxa"/>
          </w:tcPr>
          <w:p w14:paraId="31EB44C4"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Colombianos residentes en pobreza extrema/vulnerabilidad (hombres &gt;65, mujeres &gt;60; o con discapacidad &gt;50% a edades menores). Residencia &gt;10 años.</w:t>
            </w:r>
          </w:p>
        </w:tc>
        <w:tc>
          <w:tcPr>
            <w:tcW w:w="1681" w:type="dxa"/>
          </w:tcPr>
          <w:p w14:paraId="29B9DCA2"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Renta vitalicia (hasta 80% SMLMV, aprox. $223.000 COP). No sustituible/heredable.</w:t>
            </w:r>
          </w:p>
        </w:tc>
        <w:tc>
          <w:tcPr>
            <w:tcW w:w="2002" w:type="dxa"/>
          </w:tcPr>
          <w:p w14:paraId="5A520CFD"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Presupuesto General de la Nación y Subcuenta de Subsistencia del Fondo de Solidaridad Pensional.</w:t>
            </w:r>
          </w:p>
        </w:tc>
      </w:tr>
      <w:tr w:rsidR="00BE70E2" w14:paraId="75C6C984" w14:textId="77777777" w:rsidTr="00BE70E2">
        <w:tc>
          <w:tcPr>
            <w:cnfStyle w:val="001000000000" w:firstRow="0" w:lastRow="0" w:firstColumn="1" w:lastColumn="0" w:oddVBand="0" w:evenVBand="0" w:oddHBand="0" w:evenHBand="0" w:firstRowFirstColumn="0" w:firstRowLastColumn="0" w:lastRowFirstColumn="0" w:lastRowLastColumn="0"/>
            <w:tcW w:w="2260" w:type="dxa"/>
          </w:tcPr>
          <w:p w14:paraId="79C7D868" w14:textId="77777777" w:rsidR="00BE70E2" w:rsidRDefault="00000000">
            <w:pPr>
              <w:spacing w:before="120" w:after="120" w:line="240" w:lineRule="auto"/>
              <w:ind w:firstLine="0"/>
              <w:rPr>
                <w:rFonts w:ascii="Times New Roman" w:eastAsia="Google Sans Text" w:hAnsi="Times New Roman" w:cs="Times New Roman"/>
                <w:b w:val="0"/>
                <w:color w:val="1B1C1D"/>
              </w:rPr>
            </w:pPr>
            <w:r>
              <w:rPr>
                <w:rFonts w:ascii="Times New Roman" w:eastAsia="Google Sans Text" w:hAnsi="Times New Roman" w:cs="Times New Roman"/>
                <w:color w:val="1B1C1D"/>
              </w:rPr>
              <w:t>Semicontributivo</w:t>
            </w:r>
          </w:p>
        </w:tc>
        <w:tc>
          <w:tcPr>
            <w:tcW w:w="1421" w:type="dxa"/>
          </w:tcPr>
          <w:p w14:paraId="02C603DF"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Proporcionar renta vitalicia a quienes cotizaron, pero no alcanzan pensión integral.</w:t>
            </w:r>
          </w:p>
        </w:tc>
        <w:tc>
          <w:tcPr>
            <w:tcW w:w="2126" w:type="dxa"/>
          </w:tcPr>
          <w:p w14:paraId="018F3FAF"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Quienes cotizaron entre 300 y &lt;1.000 semanas.</w:t>
            </w:r>
          </w:p>
        </w:tc>
        <w:tc>
          <w:tcPr>
            <w:tcW w:w="1681" w:type="dxa"/>
          </w:tcPr>
          <w:p w14:paraId="6F8ABC7E"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Renta vitalicia (monto &lt;1 SMLMV).</w:t>
            </w:r>
          </w:p>
        </w:tc>
        <w:tc>
          <w:tcPr>
            <w:tcW w:w="2002" w:type="dxa"/>
          </w:tcPr>
          <w:p w14:paraId="386E2D25"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Presupuesto General de la Nación y aportes propios.</w:t>
            </w:r>
          </w:p>
        </w:tc>
      </w:tr>
      <w:tr w:rsidR="00BE70E2" w14:paraId="0066B473" w14:textId="77777777" w:rsidTr="00BE70E2">
        <w:tc>
          <w:tcPr>
            <w:cnfStyle w:val="001000000000" w:firstRow="0" w:lastRow="0" w:firstColumn="1" w:lastColumn="0" w:oddVBand="0" w:evenVBand="0" w:oddHBand="0" w:evenHBand="0" w:firstRowFirstColumn="0" w:firstRowLastColumn="0" w:lastRowFirstColumn="0" w:lastRowLastColumn="0"/>
            <w:tcW w:w="2260" w:type="dxa"/>
          </w:tcPr>
          <w:p w14:paraId="662DCE6D" w14:textId="77777777" w:rsidR="00BE70E2" w:rsidRDefault="00000000">
            <w:pPr>
              <w:spacing w:before="120" w:after="120" w:line="240" w:lineRule="auto"/>
              <w:ind w:firstLine="0"/>
              <w:rPr>
                <w:rFonts w:ascii="Times New Roman" w:eastAsia="Google Sans Text" w:hAnsi="Times New Roman" w:cs="Times New Roman"/>
                <w:b w:val="0"/>
                <w:color w:val="1B1C1D"/>
              </w:rPr>
            </w:pPr>
            <w:r>
              <w:rPr>
                <w:rFonts w:ascii="Times New Roman" w:eastAsia="Google Sans Text" w:hAnsi="Times New Roman" w:cs="Times New Roman"/>
                <w:color w:val="1B1C1D"/>
              </w:rPr>
              <w:t>Contributivo</w:t>
            </w:r>
          </w:p>
        </w:tc>
        <w:tc>
          <w:tcPr>
            <w:tcW w:w="1421" w:type="dxa"/>
          </w:tcPr>
          <w:p w14:paraId="06552702"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Acceso a pensión integral de vejez, invalidez o sobrevivientes.</w:t>
            </w:r>
          </w:p>
        </w:tc>
        <w:tc>
          <w:tcPr>
            <w:tcW w:w="2126" w:type="dxa"/>
          </w:tcPr>
          <w:p w14:paraId="0BC6316D"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Trabajadores dependientes/independientes, servidores públicos, personas con capacidad de pago.</w:t>
            </w:r>
          </w:p>
        </w:tc>
        <w:tc>
          <w:tcPr>
            <w:tcW w:w="1681" w:type="dxa"/>
          </w:tcPr>
          <w:p w14:paraId="4D62D0D4"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Pensión Integral de Vejez (Componente Prima Media + Ahorro Individual si aplica).</w:t>
            </w:r>
          </w:p>
        </w:tc>
        <w:tc>
          <w:tcPr>
            <w:tcW w:w="2002" w:type="dxa"/>
          </w:tcPr>
          <w:p w14:paraId="62F231A0"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Cotizaciones (16% IBC: 75% empleador, 25% trabajador). Colpensiones (hasta 2.3 SMLMV), Fondos Privados (excedente 2.3 SMLMV hasta 25 SMLMV).</w:t>
            </w:r>
          </w:p>
        </w:tc>
      </w:tr>
      <w:tr w:rsidR="00BE70E2" w14:paraId="0A900FAA" w14:textId="77777777" w:rsidTr="00BE70E2">
        <w:tc>
          <w:tcPr>
            <w:cnfStyle w:val="001000000000" w:firstRow="0" w:lastRow="0" w:firstColumn="1" w:lastColumn="0" w:oddVBand="0" w:evenVBand="0" w:oddHBand="0" w:evenHBand="0" w:firstRowFirstColumn="0" w:firstRowLastColumn="0" w:lastRowFirstColumn="0" w:lastRowLastColumn="0"/>
            <w:tcW w:w="2260" w:type="dxa"/>
          </w:tcPr>
          <w:p w14:paraId="7F2553C6" w14:textId="77777777" w:rsidR="00BE70E2" w:rsidRDefault="00000000">
            <w:pPr>
              <w:spacing w:before="120" w:after="120" w:line="240" w:lineRule="auto"/>
              <w:ind w:firstLine="0"/>
              <w:rPr>
                <w:rFonts w:ascii="Times New Roman" w:eastAsia="Google Sans Text" w:hAnsi="Times New Roman" w:cs="Times New Roman"/>
                <w:b w:val="0"/>
                <w:color w:val="1B1C1D"/>
              </w:rPr>
            </w:pPr>
            <w:r>
              <w:rPr>
                <w:rFonts w:ascii="Times New Roman" w:eastAsia="Google Sans Text" w:hAnsi="Times New Roman" w:cs="Times New Roman"/>
                <w:color w:val="1B1C1D"/>
              </w:rPr>
              <w:t>Ahorro Voluntario</w:t>
            </w:r>
          </w:p>
        </w:tc>
        <w:tc>
          <w:tcPr>
            <w:tcW w:w="1421" w:type="dxa"/>
          </w:tcPr>
          <w:p w14:paraId="560BD561"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Complementar monto de pensión integral de vejez.</w:t>
            </w:r>
          </w:p>
        </w:tc>
        <w:tc>
          <w:tcPr>
            <w:tcW w:w="2126" w:type="dxa"/>
          </w:tcPr>
          <w:p w14:paraId="1F05DB9B"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Personas que realizan ahorro voluntario.</w:t>
            </w:r>
          </w:p>
        </w:tc>
        <w:tc>
          <w:tcPr>
            <w:tcW w:w="1681" w:type="dxa"/>
          </w:tcPr>
          <w:p w14:paraId="3EC69C54"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Complemento pensional.</w:t>
            </w:r>
          </w:p>
        </w:tc>
        <w:tc>
          <w:tcPr>
            <w:tcW w:w="2002" w:type="dxa"/>
          </w:tcPr>
          <w:p w14:paraId="6468263E"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Aportes voluntarios a mecanismos del sistema financiero.</w:t>
            </w:r>
          </w:p>
        </w:tc>
      </w:tr>
    </w:tbl>
    <w:p w14:paraId="53B598E4" w14:textId="77777777" w:rsidR="00BE70E2" w:rsidRDefault="00000000">
      <w:pPr>
        <w:ind w:firstLine="0"/>
      </w:pPr>
      <w:r>
        <w:t>Nota: elaboración propia a partir de la ley 2381 de 2024.</w:t>
      </w:r>
    </w:p>
    <w:p w14:paraId="78B73C24"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lastRenderedPageBreak/>
        <w:t xml:space="preserve">El derecho a la seguridad social es un pilar fundamental en Colombia, reconocido en el Artículo 48 de la Constitución como un "derecho irrenunciable" y un "servicio público de carácter obligatorio" </w:t>
      </w:r>
      <w:sdt>
        <w:sdtPr>
          <w:rPr>
            <w:rFonts w:ascii="Times New Roman" w:eastAsia="Google Sans Text" w:hAnsi="Times New Roman" w:cs="Times New Roman"/>
            <w:color w:val="000000"/>
          </w:rPr>
          <w:tag w:val="MENDELEY_CITATION_v3_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"/>
          <w:id w:val="819766870"/>
          <w:placeholder>
            <w:docPart w:val="DefaultPlaceholder_-1854013440"/>
          </w:placeholder>
        </w:sdtPr>
        <w:sdtContent>
          <w:r>
            <w:rPr>
              <w:rFonts w:ascii="Times New Roman" w:eastAsia="Google Sans Text" w:hAnsi="Times New Roman" w:cs="Times New Roman"/>
              <w:color w:val="000000"/>
            </w:rPr>
            <w:t>(Corte Constitucional de Colombia, 2000, 2024b)</w:t>
          </w:r>
        </w:sdtContent>
      </w:sdt>
      <w:r>
        <w:rPr>
          <w:rFonts w:ascii="Times New Roman" w:eastAsia="Google Sans Text" w:hAnsi="Times New Roman" w:cs="Times New Roman"/>
          <w:color w:val="1B1C1D"/>
        </w:rPr>
        <w:t xml:space="preserve">, por lo que esta reforma busca fortalecer este derecho con el objetivo de garantizar una mayor cobertura y equidad en el acceso a la seguridad social, promoviendo una vejez digna para un segmento más amplio de la población </w:t>
      </w:r>
      <w:sdt>
        <w:sdtPr>
          <w:rPr>
            <w:rFonts w:ascii="Times New Roman" w:eastAsia="Google Sans Text" w:hAnsi="Times New Roman" w:cs="Times New Roman"/>
            <w:color w:val="000000"/>
          </w:rPr>
          <w:tag w:val="MENDELEY_CITATION_v3_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"/>
          <w:id w:val="-294827127"/>
          <w:placeholder>
            <w:docPart w:val="DefaultPlaceholder_-1854013440"/>
          </w:placeholder>
        </w:sdtPr>
        <w:sdtContent>
          <w:r>
            <w:rPr>
              <w:rFonts w:ascii="Times New Roman" w:eastAsia="Google Sans Text" w:hAnsi="Times New Roman" w:cs="Times New Roman"/>
              <w:color w:val="000000"/>
            </w:rPr>
            <w:t>(Corte Suprema de Justicia de Colombia, 2023)</w:t>
          </w:r>
        </w:sdtContent>
      </w:sdt>
      <w:r>
        <w:rPr>
          <w:rFonts w:ascii="Times New Roman" w:eastAsia="Google Sans Text" w:hAnsi="Times New Roman" w:cs="Times New Roman"/>
          <w:color w:val="1B1C1D"/>
        </w:rPr>
        <w:t xml:space="preserve">. La reforma aspira a que más personas, independientemente de su tipo de trabajo o nivel de ingresos, puedan acceder a una renta o pensión en la vejez, para garantizar la seguridad y sostenibilidad para las futuras generaciones </w:t>
      </w:r>
      <w:sdt>
        <w:sdtPr>
          <w:rPr>
            <w:rFonts w:ascii="Times New Roman" w:eastAsia="Google Sans Text" w:hAnsi="Times New Roman" w:cs="Times New Roman"/>
            <w:color w:val="000000"/>
          </w:rPr>
          <w:tag w:val="MENDELEY_CITATION_v3_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"/>
          <w:id w:val="1962455079"/>
          <w:placeholder>
            <w:docPart w:val="DefaultPlaceholder_-1854013440"/>
          </w:placeholder>
        </w:sdtPr>
        <w:sdtContent>
          <w:r>
            <w:rPr>
              <w:rFonts w:ascii="Times New Roman" w:eastAsia="Google Sans Text" w:hAnsi="Times New Roman" w:cs="Times New Roman"/>
              <w:color w:val="000000"/>
            </w:rPr>
            <w:t>(Colpensiones, 2024)</w:t>
          </w:r>
        </w:sdtContent>
      </w:sdt>
      <w:r>
        <w:rPr>
          <w:rFonts w:ascii="Times New Roman" w:eastAsia="Google Sans Text" w:hAnsi="Times New Roman" w:cs="Times New Roman"/>
          <w:color w:val="1B1C1D"/>
        </w:rPr>
        <w:t>. Al ampliar la cobertura y fortalecer el Pilar Solidario, se busca asegurar que un mayor número de personas en el futuro tengan acceso a una protección en la vejez, reduciendo la pobreza en la tercera edad.</w:t>
      </w:r>
    </w:p>
    <w:p w14:paraId="288B1EB3"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t xml:space="preserve">La reforma pensional impacta directamente las condiciones de vida de los trabajadores actuales, teniendo en cuenta que redirige la mayoría de los aportes al régimen público, lo que puede generar incertidumbre para quienes estaban en fondos privados, aunque sus ahorros existentes no serán afectados. Asimismo, el incremento en los porcentajes de cotización al Fondo de Solidaridad Pensional y la modificación de la exención tributaria para pensiones aumentan la carga fiscal para los trabajadores y pensionados de mayores ingresos, lo que podría reducir su ingreso disponible. No obstante, la ley busca corregir la brecha histórica para las mujeres trabajadoras, otorgando beneficios adicionales como el reconocimiento de 50 semanas de cotización por cada hijo, hasta un máximo de tres, lo que mejora su capacidad para cumplir los requisitos de pensión </w:t>
      </w:r>
      <w:sdt>
        <w:sdtPr>
          <w:rPr>
            <w:rFonts w:ascii="Times New Roman" w:eastAsia="Google Sans Text" w:hAnsi="Times New Roman" w:cs="Times New Roman"/>
            <w:color w:val="000000"/>
          </w:rPr>
          <w:tag w:val="MENDELEY_CITATION_v3_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"/>
          <w:id w:val="1424840737"/>
          <w:placeholder>
            <w:docPart w:val="DefaultPlaceholder_-1854013440"/>
          </w:placeholder>
        </w:sdtPr>
        <w:sdtContent>
          <w:r>
            <w:rPr>
              <w:rFonts w:ascii="Times New Roman" w:eastAsia="Google Sans Text" w:hAnsi="Times New Roman" w:cs="Times New Roman"/>
              <w:color w:val="000000"/>
            </w:rPr>
            <w:t>(Congreso de la República de Colombia, 2024)</w:t>
          </w:r>
        </w:sdtContent>
      </w:sdt>
      <w:r>
        <w:rPr>
          <w:rFonts w:ascii="Times New Roman" w:eastAsia="Google Sans Text" w:hAnsi="Times New Roman" w:cs="Times New Roman"/>
          <w:color w:val="1B1C1D"/>
        </w:rPr>
        <w:t>.</w:t>
      </w:r>
    </w:p>
    <w:p w14:paraId="7C2588F9"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lastRenderedPageBreak/>
        <w:t xml:space="preserve">Sin embargo, la sostenibilidad a largo plazo del sistema, especialmente en un modelo de reparto como el que predominará en Colpensiones, dependerá de factores demográficos y económicos, como el envejecimiento de la población y la relación entre cotizantes y pensionados serán cruciales, asi como la eficiencia en la gestión de estos recursos y la capacidad del Estado para generar rendimientos favorables serán determinantes para la viabilidad del sistema para las generaciones venideras </w:t>
      </w:r>
      <w:sdt>
        <w:sdtPr>
          <w:rPr>
            <w:rFonts w:ascii="Times New Roman" w:eastAsia="Google Sans Text" w:hAnsi="Times New Roman" w:cs="Times New Roman"/>
            <w:color w:val="000000"/>
          </w:rPr>
          <w:tag w:val="MENDELEY_CITATION_v3_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"/>
          <w:id w:val="-1649430649"/>
          <w:placeholder>
            <w:docPart w:val="DefaultPlaceholder_-1854013440"/>
          </w:placeholder>
        </w:sdtPr>
        <w:sdtContent>
          <w:r>
            <w:rPr>
              <w:rFonts w:ascii="Times New Roman" w:eastAsia="Google Sans Text" w:hAnsi="Times New Roman" w:cs="Times New Roman"/>
              <w:color w:val="000000"/>
            </w:rPr>
            <w:t>(Congreso de la República de Colombia, 2024)</w:t>
          </w:r>
        </w:sdtContent>
      </w:sdt>
      <w:r>
        <w:rPr>
          <w:rFonts w:ascii="Times New Roman" w:eastAsia="Google Sans Text" w:hAnsi="Times New Roman" w:cs="Times New Roman"/>
          <w:color w:val="1B1C1D"/>
        </w:rPr>
        <w:t>, por lo cual en el siguiente apartado se analiza desde el principio de progresividad y sostenibilidad fiscal este nuevo sistema pensional.</w:t>
      </w:r>
    </w:p>
    <w:p w14:paraId="4704B164" w14:textId="77777777" w:rsidR="00BE70E2" w:rsidRDefault="00BE70E2">
      <w:pPr>
        <w:spacing w:after="240"/>
        <w:rPr>
          <w:rFonts w:ascii="Times New Roman" w:eastAsia="Google Sans Text" w:hAnsi="Times New Roman" w:cs="Times New Roman"/>
          <w:color w:val="1B1C1D"/>
        </w:rPr>
      </w:pPr>
    </w:p>
    <w:p w14:paraId="1A1629C3" w14:textId="77777777" w:rsidR="00BE70E2" w:rsidRDefault="00BE70E2">
      <w:pPr>
        <w:spacing w:after="240"/>
        <w:rPr>
          <w:rFonts w:ascii="Times New Roman" w:eastAsia="Google Sans Text" w:hAnsi="Times New Roman" w:cs="Times New Roman"/>
          <w:color w:val="1B1C1D"/>
        </w:rPr>
      </w:pPr>
    </w:p>
    <w:p w14:paraId="5F4CEEE9" w14:textId="77777777" w:rsidR="00BE70E2" w:rsidRDefault="00BE70E2">
      <w:pPr>
        <w:spacing w:after="240"/>
        <w:rPr>
          <w:rFonts w:ascii="Times New Roman" w:eastAsia="Google Sans Text" w:hAnsi="Times New Roman" w:cs="Times New Roman"/>
          <w:color w:val="1B1C1D"/>
        </w:rPr>
      </w:pPr>
    </w:p>
    <w:p w14:paraId="25764F04" w14:textId="77777777" w:rsidR="00BE70E2" w:rsidRDefault="00BE70E2">
      <w:pPr>
        <w:spacing w:after="240"/>
        <w:rPr>
          <w:rFonts w:ascii="Times New Roman" w:eastAsia="Google Sans Text" w:hAnsi="Times New Roman" w:cs="Times New Roman"/>
          <w:color w:val="1B1C1D"/>
        </w:rPr>
      </w:pPr>
    </w:p>
    <w:p w14:paraId="46C21549" w14:textId="77777777" w:rsidR="00BE70E2" w:rsidRDefault="00BE70E2">
      <w:pPr>
        <w:spacing w:after="240"/>
        <w:rPr>
          <w:rFonts w:ascii="Times New Roman" w:eastAsia="Google Sans Text" w:hAnsi="Times New Roman" w:cs="Times New Roman"/>
          <w:color w:val="1B1C1D"/>
        </w:rPr>
      </w:pPr>
    </w:p>
    <w:p w14:paraId="1EB75A47" w14:textId="77777777" w:rsidR="00BE70E2" w:rsidRDefault="00BE70E2">
      <w:pPr>
        <w:spacing w:after="240"/>
        <w:rPr>
          <w:rFonts w:ascii="Times New Roman" w:eastAsia="Google Sans Text" w:hAnsi="Times New Roman" w:cs="Times New Roman"/>
          <w:color w:val="1B1C1D"/>
        </w:rPr>
      </w:pPr>
    </w:p>
    <w:p w14:paraId="7B0F1794" w14:textId="77777777" w:rsidR="00BE70E2" w:rsidRDefault="00BE70E2">
      <w:pPr>
        <w:spacing w:after="240"/>
        <w:rPr>
          <w:rFonts w:ascii="Times New Roman" w:eastAsia="Google Sans Text" w:hAnsi="Times New Roman" w:cs="Times New Roman"/>
          <w:color w:val="1B1C1D"/>
        </w:rPr>
      </w:pPr>
    </w:p>
    <w:p w14:paraId="0D08750A" w14:textId="77777777" w:rsidR="00BE70E2" w:rsidRDefault="00BE70E2">
      <w:pPr>
        <w:spacing w:after="240"/>
        <w:rPr>
          <w:rFonts w:ascii="Times New Roman" w:eastAsia="Google Sans Text" w:hAnsi="Times New Roman" w:cs="Times New Roman"/>
          <w:color w:val="1B1C1D"/>
        </w:rPr>
      </w:pPr>
    </w:p>
    <w:p w14:paraId="187EC63E" w14:textId="77777777" w:rsidR="00BE70E2" w:rsidRDefault="00BE70E2">
      <w:pPr>
        <w:spacing w:after="240"/>
        <w:rPr>
          <w:rFonts w:ascii="Times New Roman" w:eastAsia="Google Sans Text" w:hAnsi="Times New Roman" w:cs="Times New Roman"/>
          <w:color w:val="1B1C1D"/>
        </w:rPr>
      </w:pPr>
    </w:p>
    <w:p w14:paraId="5288088C" w14:textId="77777777" w:rsidR="00BE70E2" w:rsidRDefault="00BE70E2">
      <w:pPr>
        <w:spacing w:after="240"/>
        <w:rPr>
          <w:rFonts w:ascii="Times New Roman" w:eastAsia="Google Sans Text" w:hAnsi="Times New Roman" w:cs="Times New Roman"/>
          <w:color w:val="1B1C1D"/>
        </w:rPr>
      </w:pPr>
    </w:p>
    <w:p w14:paraId="47BCBC66" w14:textId="77777777" w:rsidR="00BE70E2" w:rsidRDefault="00000000">
      <w:pPr>
        <w:pStyle w:val="Ttulo1"/>
      </w:pPr>
      <w:bookmarkStart w:id="36" w:name="_Toc203825865"/>
      <w:r>
        <w:lastRenderedPageBreak/>
        <w:t>Capítulo 2. Ley 2381 de 2024: análisis desde la sostenibilidad financiera del sistema pensional colombiano</w:t>
      </w:r>
      <w:bookmarkEnd w:id="36"/>
    </w:p>
    <w:p w14:paraId="2E947138" w14:textId="77777777" w:rsidR="00BE70E2" w:rsidRDefault="00000000">
      <w:r>
        <w:t>Este capítulo se adentra en un análisis crítico de la Ley 2381 de 2024 desde la perspectiva de la sostenibilidad financiera del sistema pensional colombiano. Se examinarán las implicaciones de la centralización de recursos en el sector público, la gestión de los subsidios y su impacto fiscal a largo plazo, así como los desafíos inherentes a la informalidad laboral y la necesidad de ajustes paramétricos. El objetivo es desglosar cómo esta reforma, aunque busca ampliar la cobertura y la equidad, enfrenta tensiones significativas que podrían comprometer la viabilidad económica del sistema para las generaciones actuales y futuras.</w:t>
      </w:r>
    </w:p>
    <w:p w14:paraId="0FC834DB" w14:textId="77777777" w:rsidR="00BE70E2" w:rsidRDefault="00000000">
      <w:r>
        <w:t>La idea de trasladar la mayor parte de los recursos del sistema pensional al sector público —como lo plantea la nueva reforma— debe analizarse desde dos aspectos fundamentales: el uso de los fondos y la corrección de subsidios regresivos. En cuanto al uso de los recursos, si el 85% de las contribuciones pensionales se dirige a Colpensiones, el Estado mejora su liquidez con un flujo adicional estimado del 2.5% del PIB anual</w:t>
      </w:r>
      <w:sdt>
        <w:sdtPr>
          <w:rPr>
            <w:color w:val="000000"/>
          </w:rPr>
          <w:tag w:val="MENDELEY_CITATION_v3_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"/>
          <w:id w:val="-407618106"/>
          <w:placeholder>
            <w:docPart w:val="DefaultPlaceholder_-1854013440"/>
          </w:placeholder>
        </w:sdtPr>
        <w:sdtContent>
          <w:r>
            <w:rPr>
              <w:color w:val="000000"/>
            </w:rPr>
            <w:t>(Clavijo, 2023)</w:t>
          </w:r>
        </w:sdtContent>
      </w:sdt>
      <w:r>
        <w:t>. No obstante, esto solo tendría un impacto positivo si esos fondos son ahorrados y no utilizados para incrementar el gasto corriente, por lo que, aunque esta concentración de recursos aliviaría la caja del gobierno, podría generar riesgos macroeconómicos si se destinan a gasto improductivo.</w:t>
      </w:r>
    </w:p>
    <w:p w14:paraId="0EA0824A" w14:textId="77777777" w:rsidR="00BE70E2" w:rsidRDefault="00000000">
      <w:pPr>
        <w:rPr>
          <w:rFonts w:ascii="Times New Roman" w:eastAsia="Google Sans Text" w:hAnsi="Times New Roman" w:cs="Times New Roman"/>
          <w:color w:val="1B1C1D"/>
        </w:rPr>
      </w:pPr>
      <w:r>
        <w:rPr>
          <w:rFonts w:ascii="Times New Roman" w:eastAsia="Google Sans Text" w:hAnsi="Times New Roman" w:cs="Times New Roman"/>
          <w:color w:val="1B1C1D"/>
        </w:rPr>
        <w:t xml:space="preserve">Por ejemplo, la financiación del Pilar Solidario, que proporciona una renta básica a la población más vulnerable, se realizará con recursos del Presupuesto General de la Nación y de la Subcuenta de Subsistencia del Fondo de Solidaridad Pensional </w:t>
      </w:r>
      <w:sdt>
        <w:sdtPr>
          <w:rPr>
            <w:rFonts w:ascii="Times New Roman" w:eastAsia="Google Sans Text" w:hAnsi="Times New Roman" w:cs="Times New Roman"/>
            <w:color w:val="000000"/>
          </w:rPr>
          <w:tag w:val="MENDELEY_CITATION_v3_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"/>
          <w:id w:val="874501396"/>
          <w:placeholder>
            <w:docPart w:val="DefaultPlaceholder_-1854013440"/>
          </w:placeholder>
        </w:sdtPr>
        <w:sdtContent>
          <w:r>
            <w:rPr>
              <w:rFonts w:ascii="Times New Roman" w:eastAsia="Google Sans Text" w:hAnsi="Times New Roman" w:cs="Times New Roman"/>
              <w:color w:val="000000"/>
            </w:rPr>
            <w:t>(Actualícese, 2024)</w:t>
          </w:r>
        </w:sdtContent>
      </w:sdt>
      <w:r>
        <w:rPr>
          <w:rFonts w:ascii="Times New Roman" w:eastAsia="Google Sans Text" w:hAnsi="Times New Roman" w:cs="Times New Roman"/>
          <w:color w:val="1B1C1D"/>
        </w:rPr>
        <w:t xml:space="preserve">. Esta medida, si bien es fundamental para la equidad y la ampliación de la cobertura, impone una carga fiscal </w:t>
      </w:r>
      <w:r>
        <w:rPr>
          <w:rFonts w:ascii="Times New Roman" w:eastAsia="Google Sans Text" w:hAnsi="Times New Roman" w:cs="Times New Roman"/>
          <w:color w:val="1B1C1D"/>
        </w:rPr>
        <w:lastRenderedPageBreak/>
        <w:t xml:space="preserve">significativa al Estado, la ley actual establece que se utilizarán recursos del fondo, lo que implica una redistribución de los aportes de los cotizantes de mayores ingresos. </w:t>
      </w:r>
    </w:p>
    <w:p w14:paraId="3EB3045C" w14:textId="77777777" w:rsidR="00BE70E2" w:rsidRDefault="00000000">
      <w:r>
        <w:rPr>
          <w:rFonts w:ascii="Times New Roman" w:eastAsia="Google Sans Text" w:hAnsi="Times New Roman" w:cs="Times New Roman"/>
          <w:color w:val="1B1C1D"/>
        </w:rPr>
        <w:t xml:space="preserve">En este sentido, la reducción del rol de los fondos privados podría disminuir la competencia y la innovación en la gestión de los ahorros pensionales, lo que a largo plazo podría afectar la rentabilidad y la calidad de los servicios para los afiliados, aun cuando la OIT ha señalado que la Ley 2381 podría incrementar la cobertura efectiva del sistema </w:t>
      </w:r>
      <w:sdt>
        <w:sdtPr>
          <w:rPr>
            <w:rFonts w:ascii="Times New Roman" w:eastAsia="Google Sans Text" w:hAnsi="Times New Roman" w:cs="Times New Roman"/>
            <w:color w:val="000000"/>
          </w:rPr>
          <w:tag w:val="MENDELEY_CITATION_v3_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"/>
          <w:id w:val="-1550603622"/>
          <w:placeholder>
            <w:docPart w:val="F167FBC3C95D469F9544BB58B4686B3F"/>
          </w:placeholder>
        </w:sdtPr>
        <w:sdtContent>
          <w:r>
            <w:rPr>
              <w:rFonts w:ascii="Times New Roman" w:eastAsia="Google Sans Text" w:hAnsi="Times New Roman" w:cs="Times New Roman"/>
              <w:color w:val="000000"/>
            </w:rPr>
            <w:t>(Organización Internacional del Trabajo [OIT], 2025)</w:t>
          </w:r>
        </w:sdtContent>
      </w:sdt>
      <w:r>
        <w:rPr>
          <w:rFonts w:ascii="Times New Roman" w:eastAsia="Google Sans Text" w:hAnsi="Times New Roman" w:cs="Times New Roman"/>
          <w:color w:val="1B1C1D"/>
        </w:rPr>
        <w:t>, d</w:t>
      </w:r>
      <w:r>
        <w:t xml:space="preserve">esde una perspectiva macrofinanciera, la evidencia técnica indica que el ahorro pensional administrado por el sector privado genera mayores beneficios para el crecimiento económico. </w:t>
      </w:r>
      <w:sdt>
        <w:sdtPr>
          <w:rPr>
            <w:color w:val="000000"/>
          </w:rPr>
          <w:tag w:val="MENDELEY_CITATION_v3_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"/>
          <w:id w:val="399798520"/>
          <w:placeholder>
            <w:docPart w:val="DefaultPlaceholder_-1854013440"/>
          </w:placeholder>
        </w:sdtPr>
        <w:sdtContent>
          <w:r>
            <w:rPr>
              <w:color w:val="000000"/>
            </w:rPr>
            <w:t>Clavijo (2023)</w:t>
          </w:r>
        </w:sdtContent>
      </w:sdt>
      <w:r>
        <w:rPr>
          <w:color w:val="000000"/>
        </w:rPr>
        <w:t xml:space="preserve"> menciona</w:t>
      </w:r>
      <w:r>
        <w:t xml:space="preserve"> que este tipo de ahorro impulsa más eficientemente el PIB real, al evitar distorsiones fiscales (“death-weights”). En la práctica, Chile demostró que los fondos privados pueden canalizarse exitosamente hacia infraestructura, aumentando la inversión, la productividad y la formación de capital fijo </w:t>
      </w:r>
      <w:sdt>
        <w:sdtPr>
          <w:rPr>
            <w:color w:val="000000"/>
          </w:rPr>
          <w:tag w:val="MENDELEY_CITATION_v3_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"/>
          <w:id w:val="1496610404"/>
          <w:placeholder>
            <w:docPart w:val="DefaultPlaceholder_-1854013440"/>
          </w:placeholder>
        </w:sdtPr>
        <w:sdtContent>
          <w:r>
            <w:rPr>
              <w:color w:val="000000"/>
            </w:rPr>
            <w:t>(Clavijo, 2003)</w:t>
          </w:r>
        </w:sdtContent>
      </w:sdt>
      <w:r>
        <w:t>. En contraste, dejar estos fondos en manos públicas podría fomentar el gasto burocrático y una falsa sensación de sostenibilidad fiscal si se invierten solo en TES, cayendo en lo que se conoce como “miopía fiscal”.</w:t>
      </w:r>
    </w:p>
    <w:p w14:paraId="74BB0F17" w14:textId="77777777" w:rsidR="00BE70E2" w:rsidRDefault="00000000">
      <w:r>
        <w:t>Respecto a los subsidios, el nuevo esquema concentra el 85% de los cotizantes (aquellos que ganan hasta tres salarios mínimos) en Colpensiones, donde se calcula que el subsidio promedio en las rentas vitalicias es del 35%. Aunque los subsidios individuales son más altos en el 15% de mayores ingresos, el volumen total de subsidios es más grande en la franja de menores ingresos, por lo cual eliminar los subsidios de los altos ingresos no compensa el costo de los que persisten en la base del sistema.</w:t>
      </w:r>
    </w:p>
    <w:p w14:paraId="473EE51C" w14:textId="77777777" w:rsidR="00BE70E2" w:rsidRDefault="00000000">
      <w:r>
        <w:lastRenderedPageBreak/>
        <w:t xml:space="preserve">Como resultado, esta reforma elevaría en un 55% del PIB el valor presente neto (VPN) del déficit pensional proyectado a 25 años </w:t>
      </w:r>
      <w:sdt>
        <w:sdtPr>
          <w:rPr>
            <w:color w:val="000000"/>
          </w:rPr>
          <w:tag w:val="MENDELEY_CITATION_v3_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"/>
          <w:id w:val="-2087531952"/>
          <w:placeholder>
            <w:docPart w:val="DefaultPlaceholder_-1854013440"/>
          </w:placeholder>
        </w:sdtPr>
        <w:sdtContent>
          <w:r>
            <w:rPr>
              <w:color w:val="000000"/>
            </w:rPr>
            <w:t>(Clavijo, 2023)</w:t>
          </w:r>
        </w:sdtContent>
      </w:sdt>
      <w:r>
        <w:t xml:space="preserve">, para mitigar este impacto, se ha propuesto reducir el umbral de cotización obligatoria a Colpensiones a 1 SML </w:t>
      </w:r>
      <w:sdt>
        <w:sdtPr>
          <w:rPr>
            <w:color w:val="000000"/>
          </w:rPr>
          <w:tag w:val="MENDELEY_CITATION_v3_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"/>
          <w:id w:val="-1094473445"/>
          <w:placeholder>
            <w:docPart w:val="DefaultPlaceholder_-1854013440"/>
          </w:placeholder>
        </w:sdtPr>
        <w:sdtContent>
          <w:r>
            <w:rPr>
              <w:color w:val="000000"/>
            </w:rPr>
            <w:t>(Mejía, 2022)</w:t>
          </w:r>
        </w:sdtContent>
      </w:sdt>
      <w:r>
        <w:t>, limitando así los subsidios entre 2 y 3 SML. Además, sería necesario ajustar las tasas de reemplazo a niveles financieramente sostenibles: del 100% al 50% para ingresos entre 1-2 SML y del 65% al 50% para quienes ganan 3 SML, suponiendo una rentabilidad real del 5%.</w:t>
      </w:r>
    </w:p>
    <w:p w14:paraId="52E83179" w14:textId="77777777" w:rsidR="00BE70E2" w:rsidRDefault="00000000">
      <w:r>
        <w:t>Sin embargo, la actual reforma no incluye ajustes paramétricos como el aumento de la edad de jubilación (debería pasar a 62 años para mujeres y 65 para hombres), ni tampoco el endurecimiento de las condiciones de acceso al Fondo de Garantía de Pensión Mínima (FGPM) se acompaña de medidas para enfrentar su impacto negativo. En este orden de ideas, elevar el requisito para acceder al FGPM de 23 a 26 años de cotización podría agravar la situación, ya que actualmente solo el 15% de los cotizantes cumple las 1.150 semanas requeridas. Si se exigieran 1.300 semanas, la proporción de quienes alcanzarían una pensión vitalicia bajaría al 13%, exacerbando los problemas de cobertura en un mercado laboral altamente informal.</w:t>
      </w:r>
    </w:p>
    <w:p w14:paraId="30BEC1AE" w14:textId="77777777" w:rsidR="00BE70E2" w:rsidRDefault="00000000">
      <w:r>
        <w:t xml:space="preserve">Uno de los aciertos de la reforma pensional propuesta por el gobierno es la eliminación del aporte obligatorio al Fondo de Garantía de Pensión Mínima (FGPM) por parte de los cotizantes de menores ingresos, teniendo en cuenta que este aporte representaba una carga injusta, ya que restaba un 1.5% de sus contribuciones individuales, pese a que tenían pocas probabilidades de beneficiarse del FGPM. De acuerdo con estimaciones actuariales, sin este descuento, los retornos al ahorro de los estratos bajos habrían aumentado hasta en un 2% real anual, lo que habría mejorado considerablemente su posibilidad de alcanzar el capital necesario para pensionarse (estimado en $250 millones de pesos de 2022). Por ejemplo, un trabajador que </w:t>
      </w:r>
      <w:r>
        <w:lastRenderedPageBreak/>
        <w:t>cotizara sobre dos salarios mínimos habría alcanzado solo el 62% del capital requerido con el aporte al FGPM, pero sin dicho aporte podría haber llegado al 84%.</w:t>
      </w:r>
    </w:p>
    <w:p w14:paraId="2118F812" w14:textId="77777777" w:rsidR="00BE70E2" w:rsidRDefault="00000000">
      <w:r>
        <w:t xml:space="preserve">Esto demuestra que el desmonte del aporte de los estratos bajos al FGPM es una medida progresiva, ya que mejora el rendimiento de sus ahorros. No obstante, esto genera la necesidad de buscar fuentes alternativas de financiación para el FGPM. Una opción es imponer un impuesto de hasta el 3% sobre las pensiones altas, así como exigir aportes de los estratos altos, aun si estos no se beneficien directamente del FGPM. Sin embargo, esto puede generar distorsiones conocidas como “impuestos puros”, desincentivando la formalidad laboral </w:t>
      </w:r>
      <w:sdt>
        <w:sdtPr>
          <w:rPr>
            <w:color w:val="000000"/>
          </w:rPr>
          <w:tag w:val="MENDELEY_CITATION_v3_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"/>
          <w:id w:val="35790891"/>
          <w:placeholder>
            <w:docPart w:val="DefaultPlaceholder_-1854013440"/>
          </w:placeholder>
        </w:sdtPr>
        <w:sdtContent>
          <w:r>
            <w:rPr>
              <w:color w:val="000000"/>
            </w:rPr>
            <w:t>(Clavijo, 2003)</w:t>
          </w:r>
        </w:sdtContent>
      </w:sdt>
      <w:r>
        <w:t>.</w:t>
      </w:r>
    </w:p>
    <w:p w14:paraId="55F1856F" w14:textId="77777777" w:rsidR="00BE70E2" w:rsidRDefault="00000000">
      <w:r>
        <w:t xml:space="preserve">En cuanto al segundo pilar de la reforma, se establece que el ahorro voluntario y obligatorio sobre ingresos superiores a tres salarios mínimos quede en manos de las AFPs, que conservarían el manejo del 15% de los cotizantes. Estos ahorros se integrarían luego a los pagos que realizará Colpensiones al momento de pensionarse. Aunque este modelo plantea una coordinación entre ahorro privado y público, aún hay aspectos técnicos y operativos por definir. Por ello, se sugiere crear una Comisión Autónoma de Regulación del Sistema Pensional (CARSP), como lo propone </w:t>
      </w:r>
      <w:sdt>
        <w:sdtPr>
          <w:rPr>
            <w:color w:val="000000"/>
          </w:rPr>
          <w:tag w:val="MENDELEY_CITATION_v3_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"/>
          <w:id w:val="309911109"/>
          <w:placeholder>
            <w:docPart w:val="DefaultPlaceholder_-1854013440"/>
          </w:placeholder>
        </w:sdtPr>
        <w:sdtContent>
          <w:r>
            <w:rPr>
              <w:color w:val="000000"/>
            </w:rPr>
            <w:t>(Clavijo, 2023)</w:t>
          </w:r>
        </w:sdtContent>
      </w:sdt>
    </w:p>
    <w:p w14:paraId="2D98C453" w14:textId="77777777" w:rsidR="00BE70E2" w:rsidRDefault="00000000">
      <w:r>
        <w:t>Sin embargo, la reforma pensional no enfrenta el problema estructural de la informalidad laboral, y podría agravarlo si se aprueba juntamente con la reforma laboral propuesta, que aumentaría los costos no salariales para los empleadores. Actualmente, estos costos representan un 51% adicional sobre el salario. La nueva legislación podría elevar este costo en un 20%, encareciendo la contratación por aumentos en pagos por horas extras, recargos dominicales y terminaciones de contrato.</w:t>
      </w:r>
    </w:p>
    <w:p w14:paraId="58B06530" w14:textId="77777777" w:rsidR="00BE70E2" w:rsidRDefault="00000000">
      <w:r>
        <w:lastRenderedPageBreak/>
        <w:t>La informalidad laboral en Colombia es severa, según datos del sistema PILA, entre el 46% y 52% de la Población Económicamente Activa (PEA) nunca cotiza a la seguridad social. Pero si se aplica una métrica más rigurosa —aquellos que cotizan todos los meses del año—, solo entre el 22% y 24% de la PEA cumple con esa regularidad, lo que sugiere una informalidad real del 76% al 78%. Esto coincide con el hecho de que solo 1 de cada 4 colombianos logra pensionarse.</w:t>
      </w:r>
    </w:p>
    <w:p w14:paraId="0226D5C2" w14:textId="77777777" w:rsidR="00BE70E2" w:rsidRDefault="00000000">
      <w:r>
        <w:t>A pesar de algunas mejoras marginales tras las reformas de alivio empresarial, como la Ley 1607 de 2012 que redujo los aportes patronales en un 13.5%, la formalización laboral aumentó solo ligeramente: los cotizantes trimestrales o semestrales crecieron entre 5% y 6%, mientras que los que cotizan todo el año solo crecieron en un 2%. En consecuencia, el problema de informalidad sigue siendo estructural y limita seriamente el éxito de cualquier reforma pensional. Por tanto, en el corto plazo, lo más prudente sería evitar incrementos en los costos laborales, ya que esto dificultaría la reducción del desempleo y obstaculizaría la formalización laboral, uno de los objetivos principales de la reforma pensional.</w:t>
      </w:r>
    </w:p>
    <w:p w14:paraId="26E3157F"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t xml:space="preserve">La Procuraduría General de la Nación de acuerdo con </w:t>
      </w:r>
      <w:sdt>
        <w:sdtPr>
          <w:rPr>
            <w:rFonts w:ascii="Times New Roman" w:eastAsia="Google Sans Text" w:hAnsi="Times New Roman" w:cs="Times New Roman"/>
            <w:color w:val="000000"/>
          </w:rPr>
          <w:tag w:val="MENDELEY_CITATION_v3_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"/>
          <w:id w:val="1122421048"/>
          <w:placeholder>
            <w:docPart w:val="DefaultPlaceholder_-1854013440"/>
          </w:placeholder>
        </w:sdtPr>
        <w:sdtContent>
          <w:r>
            <w:rPr>
              <w:rFonts w:ascii="Times New Roman" w:eastAsia="Google Sans Text" w:hAnsi="Times New Roman" w:cs="Times New Roman"/>
              <w:color w:val="000000"/>
            </w:rPr>
            <w:t>Moreno (2025)</w:t>
          </w:r>
        </w:sdtContent>
      </w:sdt>
      <w:r>
        <w:rPr>
          <w:rFonts w:ascii="Times New Roman" w:eastAsia="Google Sans Text" w:hAnsi="Times New Roman" w:cs="Times New Roman"/>
          <w:color w:val="000000"/>
        </w:rPr>
        <w:t xml:space="preserve"> </w:t>
      </w:r>
      <w:r>
        <w:rPr>
          <w:rFonts w:ascii="Times New Roman" w:eastAsia="Google Sans Text" w:hAnsi="Times New Roman" w:cs="Times New Roman"/>
          <w:color w:val="1B1C1D"/>
        </w:rPr>
        <w:t>ha señalado que la modificación de la exención del impuesto sobre la renta para pensiones (Artículo 84.5), que ahora grava los montos que excedan las 1.000 UVT anuales, podría ser una medida regresiva en materia de seguridad social. La Procuraduría argumenta que esta disposición carece de la motivación suficiente para justificar un retroceso en los derechos de los pensionados, lo que podría vulnerar el Artículo 48 de la Constitución y el principio de no regresividad (</w:t>
      </w:r>
      <w:sdt>
        <w:sdtPr>
          <w:rPr>
            <w:rFonts w:ascii="Times New Roman" w:eastAsia="Google Sans Text" w:hAnsi="Times New Roman" w:cs="Times New Roman"/>
            <w:color w:val="000000"/>
          </w:rPr>
          <w:tag w:val="MENDELEY_CITATION_v3_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"/>
          <w:id w:val="208459042"/>
          <w:placeholder>
            <w:docPart w:val="DefaultPlaceholder_-1854013440"/>
          </w:placeholder>
        </w:sdtPr>
        <w:sdtContent>
          <w:r>
            <w:rPr>
              <w:rFonts w:ascii="Times New Roman" w:eastAsia="Google Sans Text" w:hAnsi="Times New Roman" w:cs="Times New Roman"/>
              <w:color w:val="000000"/>
            </w:rPr>
            <w:t>(Corte Constitucional de Colombia, 2024b; Moreno, 2025)</w:t>
          </w:r>
        </w:sdtContent>
      </w:sdt>
      <w:r>
        <w:rPr>
          <w:rFonts w:ascii="Times New Roman" w:eastAsia="Google Sans Text" w:hAnsi="Times New Roman" w:cs="Times New Roman"/>
          <w:color w:val="1B1C1D"/>
        </w:rPr>
        <w:t>). Esta preocupación subraya la tensión entre la necesidad de sostenibilidad fiscal y la protección de los derechos sociales ya consolidados.</w:t>
      </w:r>
    </w:p>
    <w:p w14:paraId="70BC6E72" w14:textId="77777777" w:rsidR="00BE70E2" w:rsidRDefault="00000000">
      <w:r>
        <w:lastRenderedPageBreak/>
        <w:t>Desde un enfoque actuarial, los datos evidencian la baja capacidad de acumulación de capital de los cotizantes de bajos ingresos. Un trabajador que cotiza sobre un salario mínimo (1 SML) durante 15 años solo lograría reunir el 13% del capital necesario para una renta vitalicia, y tras 25 años, apenas alcanzaría el 31%. En contraste, quienes cotizan sobre 2 SML alcanzarían el 62% del capital requerido en ese mismo periodo. Si se asumiera una rentabilidad real del 8% anual, los de 2 SML llegarían al 85%, requiriendo solo un 15% de subsidio del FGPM, mientras que los de 1 SML apenas alcanzarían el 42%, forzando al fondo a cubrir el 58% restante. Este grupo representa cerca del 50% de los cotizantes actuales, lo que sugiere un alto riesgo de agotamiento del FGPM.</w:t>
      </w:r>
    </w:p>
    <w:p w14:paraId="07E5FCEF" w14:textId="77777777" w:rsidR="00BE70E2" w:rsidRDefault="00000000">
      <w:r>
        <w:t>Además, como alrededor del 60% de los cotizantes al sistema PILA ganan menos de 2 SML y el 70% menos de 3 SML, obligar a este segmento a trasladarse a Colpensiones —como lo propone la reforma— implicará un fuerte aumento del déficit pensional, que podría incrementarse en 55% del PIB a 25 años, sin contar el gasto de programas como Colombia Mayor. Dado este panorama, era crucial haber ajustado previamente la tasa de reemplazo (es decir, el porcentaje del salario que se recibe como pensión) para que los subsidios fueran sostenibles. En los niveles actuales, se estima que los subsidios rondan el 70% para cotizantes de 1 SML y el 40% para quienes ganan 2 SML, aun cumpliendo los 25 años requeridos.</w:t>
      </w:r>
    </w:p>
    <w:p w14:paraId="1D25177F" w14:textId="77777777" w:rsidR="00BE70E2" w:rsidRDefault="00000000">
      <w:r>
        <w:t xml:space="preserve">El panorama empeora si se considera que solo el 15% de los cotizantes —aquellos que ganan más de 3 SML— seguirán contribuyendo al FGPM. El 85% restante quedará exento de dicho aporte, pero sí serán beneficiarios potenciales, incrementando significativamente la presión sobre las finanzas públicas. Las contribuciones que provendrían de los pensionados que reciben más de 10 SML serían insuficientes para cubrir este desequilibrio, ya que representan solo un 5% del total de pensionados (alrededor de 100.000 personas). Cabe desmentir la creencia de que las </w:t>
      </w:r>
      <w:r>
        <w:lastRenderedPageBreak/>
        <w:t>AFPs cobran comisiones excesivas. Tanto Colpensiones como las administradoras privadas aplican tarifas similares: un 1.3% sobre el aporte o aproximadamente 0.5% sobre los ahorros acumulados a largo plazo, lo cual está en línea con las mejores prácticas internacionales.</w:t>
      </w:r>
    </w:p>
    <w:p w14:paraId="33031F3B" w14:textId="77777777" w:rsidR="00BE70E2" w:rsidRDefault="00000000">
      <w:r>
        <w:t>Para lograr un sistema pensional sostenible en Colombia, resulta fundamental promover una dinámica sólida de empleo formal, puesto que el sistema no puede continuar dependiendo del esquema no contributivo como el programa Colombia Mayor, pues esto representa una carga fiscal insostenible. Sin embargo, la reforma laboral impulsada por el gobierno actual podría ir en contravía de este objetivo, al encarecer la contratación formal, lo cual podría aumentar la informalidad y el desempleo.</w:t>
      </w:r>
    </w:p>
    <w:p w14:paraId="19D1E7D6" w14:textId="77777777" w:rsidR="00BE70E2" w:rsidRDefault="00000000">
      <w:r>
        <w:t xml:space="preserve">En este contexto, resulta preocupante que se estén considerando propuestas que, aunque bien intencionadas, no son fiscalmente viables. Un ejemplo es la idea de establecer una renta vitalicia universal para todos los mayores de 57 o 62 años, sin necesidad de cotización previa. Esta medida, si bien busca reducir la pobreza en la vejez, tendría un costo fiscal cercano al 2.7% del PIB anual, una cifra insostenible en un país con una deuda del 63% del PIB y un déficit estructural de aproximadamente el 4% del PIB </w:t>
      </w:r>
      <w:sdt>
        <w:sdtPr>
          <w:rPr>
            <w:color w:val="000000"/>
          </w:rPr>
          <w:tag w:val="MENDELEY_CITATION_v3_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"/>
          <w:id w:val="-1687903366"/>
          <w:placeholder>
            <w:docPart w:val="DefaultPlaceholder_-1854013440"/>
          </w:placeholder>
        </w:sdtPr>
        <w:sdtContent>
          <w:r>
            <w:rPr>
              <w:color w:val="000000"/>
            </w:rPr>
            <w:t>(Fondo Monetario Internacional, 2023)</w:t>
          </w:r>
        </w:sdtContent>
      </w:sdt>
      <w:r>
        <w:rPr>
          <w:color w:val="000000"/>
        </w:rPr>
        <w:t>.</w:t>
      </w:r>
    </w:p>
    <w:p w14:paraId="24B7C892" w14:textId="77777777" w:rsidR="00BE70E2" w:rsidRDefault="00000000">
      <w:r>
        <w:t>Una alternativa menos ambiciosa, pero también limitada, sería fortalecer el Programa de Adulto Mayor, cuya cobertura actual equivale al 0.3% del PIB, aunque este debería escalarse hasta el 1% del PIB para atender a la población más vulnerable, no puede ser considerado un sustituto del ahorro pensional contributivo. Del mismo modo, los Beneficios Económicos Periódicos (BEPs), diseñados para quienes no alcanzan a pensionarse, han demostrado tener bajo impacto real: la mayoría de sus seis millones de afiliados no logran generar el ahorro mínimo necesario para obtener una renta significativa, y menos del 15% realiza aportes adicionales.</w:t>
      </w:r>
    </w:p>
    <w:p w14:paraId="39965BFC" w14:textId="77777777" w:rsidR="00BE70E2" w:rsidRDefault="00000000">
      <w:r>
        <w:lastRenderedPageBreak/>
        <w:t xml:space="preserve">Si bien el programa BEPs ha mostrado un crecimiento en número de beneficiarios y en el valor de las transferencias, este aumento se explica más por traslados de recursos desde los fondos privados que por una verdadera acumulación de ahorro inducida </w:t>
      </w:r>
      <w:sdt>
        <w:sdtPr>
          <w:rPr>
            <w:color w:val="000000"/>
          </w:rPr>
          <w:tag w:val="MENDELEY_CITATION_v3_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"/>
          <w:id w:val="-2015673919"/>
          <w:placeholder>
            <w:docPart w:val="DefaultPlaceholder_-1854013440"/>
          </w:placeholder>
        </w:sdtPr>
        <w:sdtContent>
          <w:r>
            <w:rPr>
              <w:color w:val="000000"/>
            </w:rPr>
            <w:t>(Clavijo, 2023)</w:t>
          </w:r>
        </w:sdtContent>
      </w:sdt>
      <w:r>
        <w:t xml:space="preserve">. Por tanto, no constituye una solución estructural. En consecuencia, cualquier política seria en materia pensional debe centrarse en fortalecer el ahorro individual a través del empleo formal. Durante 2019–2023, Colombia incrementó su recaudo tributario en 4 puntos del PIB </w:t>
      </w:r>
      <w:sdt>
        <w:sdtPr>
          <w:rPr>
            <w:color w:val="000000"/>
          </w:rPr>
          <w:tag w:val="MENDELEY_CITATION_v3_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"/>
          <w:id w:val="1355534455"/>
          <w:placeholder>
            <w:docPart w:val="DefaultPlaceholder_-1854013440"/>
          </w:placeholder>
        </w:sdtPr>
        <w:sdtContent>
          <w:r>
            <w:rPr>
              <w:color w:val="000000"/>
            </w:rPr>
            <w:t>(Fondo Monetario Internacional, 2023)</w:t>
          </w:r>
        </w:sdtContent>
      </w:sdt>
      <w:r>
        <w:t>, pero también aumentó su gasto público de 19% a 24% del PIB, sin mejoras proporcionales en el balance fiscal. La presión del gasto en salud, pensiones y subsidios ha sido creciente, mientras que la inversión productiva ha caído a niveles cercanos al 20% del PIB, afectada por una carga empresarial cercana al 58%.</w:t>
      </w:r>
    </w:p>
    <w:p w14:paraId="5853AF4F" w14:textId="77777777" w:rsidR="00BE70E2" w:rsidRDefault="00000000">
      <w:r>
        <w:t xml:space="preserve">Finalmente, si Colombia no fortalece el sistema contributivo ni cuida el ahorro administrado por las AFPs, podría desperdiciar su ventaja demográfica actual: solo el 12% de su población está en edad de pensión, frente al 20–25% de los países desarrollados, puesto que nuestro pais dedica apenas el 4% del PIB a su sistema pensional, por lo tanto, sin un enfoque decidido en favor de la formalización laboral y del ahorro individual, por lo que podría enfrentar una crisis fiscal aún más profunda y un panorama incierto para su población envejecida. Francia, por ejemplo, tuvo que aumentar su edad de jubilación de 62 a 64 años ante el peso del 14% del PIB destinado a pensiones (para cubrir al 21% de su población) </w:t>
      </w:r>
      <w:sdt>
        <w:sdtPr>
          <w:rPr>
            <w:color w:val="000000"/>
          </w:rPr>
          <w:tag w:val="MENDELEY_CITATION_v3_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"/>
          <w:id w:val="2120401075"/>
          <w:placeholder>
            <w:docPart w:val="DefaultPlaceholder_-1854013440"/>
          </w:placeholder>
        </w:sdtPr>
        <w:sdtContent>
          <w:r>
            <w:rPr>
              <w:color w:val="000000"/>
            </w:rPr>
            <w:t>(Clavijo, 2023)</w:t>
          </w:r>
        </w:sdtContent>
      </w:sdt>
      <w:r>
        <w:t>.</w:t>
      </w:r>
    </w:p>
    <w:p w14:paraId="1D793E98" w14:textId="77777777" w:rsidR="00BE70E2" w:rsidRDefault="00000000">
      <w:pPr>
        <w:spacing w:after="240"/>
      </w:pPr>
      <w:r>
        <w:rPr>
          <w:rFonts w:ascii="Times New Roman" w:eastAsia="Google Sans Text" w:hAnsi="Times New Roman" w:cs="Times New Roman"/>
          <w:color w:val="1B1C1D"/>
        </w:rPr>
        <w:t xml:space="preserve">Para concluir, si bien la reforma busca una mayor cobertura y equidad, en línea con el principio de solidaridad, esta impone una carga fiscal significativa al Estado, que deberá ser gestionada cuidadosamente para asegurar la viabilidad del sistema sin comprometer las finanzas públicas. El equilibrio entre la solidaridad (expansión de cobertura, subsidios) y la sostenibilidad financiera es un desafío constitucional crítico. El Estado tiene el deber de contribuir al </w:t>
      </w:r>
      <w:r>
        <w:rPr>
          <w:rFonts w:ascii="Times New Roman" w:eastAsia="Google Sans Text" w:hAnsi="Times New Roman" w:cs="Times New Roman"/>
          <w:color w:val="1B1C1D"/>
        </w:rPr>
        <w:lastRenderedPageBreak/>
        <w:t>financiamiento del sistema y de diseñar mecanismos que generen rendimientos favorables para los aportes, por tanto, resulta pertinente analizar el principio de solidaridad y la protección de los derechos adquiridos.</w:t>
      </w:r>
    </w:p>
    <w:p w14:paraId="4F631F57" w14:textId="77777777" w:rsidR="00BE70E2" w:rsidRDefault="00000000">
      <w:pPr>
        <w:pStyle w:val="Ttulo1"/>
      </w:pPr>
      <w:r>
        <w:br w:type="column"/>
      </w:r>
      <w:bookmarkStart w:id="37" w:name="_Toc203825866"/>
      <w:r>
        <w:lastRenderedPageBreak/>
        <w:t>Capítulo 3. Retos que enfrenta la reforma sobre los principios constitucionales de solidaridad y protección de derechos adquiridos</w:t>
      </w:r>
      <w:bookmarkEnd w:id="37"/>
    </w:p>
    <w:p w14:paraId="28B62972" w14:textId="77777777" w:rsidR="00BE70E2" w:rsidRDefault="00000000">
      <w:r>
        <w:t>El presente capítulo aborda los desafíos inherentes a la Ley 2381 de 2024, analizando cómo esta reforma pensional se confronta con los principios constitucionales de solidaridad y protección de derechos adquiridos en Colombia. Se explorará la materialización de la solidaridad a través del sistema de pilares y el Fondo de Solidaridad Pensional, así como los mecanismos implementados para salvaguardar las expectativas y derechos de los afiliados, como el régimen de transición y la pensión anticipada de vejez. Finalmente, se examinarán las tensiones y críticas constitucionales que pesan sobre la ley, incluyendo los cuestionamientos a su procedimiento legislativo y a la posible regresividad de algunas de sus disposiciones, elementos cruciales para comprender el futuro del sistema pensional colombiano.</w:t>
      </w:r>
    </w:p>
    <w:p w14:paraId="6F60AFE9" w14:textId="77777777" w:rsidR="00BE70E2" w:rsidRDefault="00000000">
      <w:pPr>
        <w:pStyle w:val="Ttulo2"/>
      </w:pPr>
      <w:bookmarkStart w:id="38" w:name="_Toc203825867"/>
      <w:r>
        <w:t>7.1. El Principio Constitucional de Solidaridad en el Sistema Pensional</w:t>
      </w:r>
      <w:bookmarkEnd w:id="38"/>
    </w:p>
    <w:p w14:paraId="6B497201"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t xml:space="preserve">El principio de solidaridad es una piedra angular del ordenamiento jurídico colombiano, arraigado en la Constitución Política. El Artículo 1 de la Carta Magna establece que Colombia es un Estado Social de Derecho, fundado en el respeto de la dignidad humana, el trabajo y, de manera explícita, en la solidaridad de las personas </w:t>
      </w:r>
      <w:sdt>
        <w:sdtPr>
          <w:rPr>
            <w:rFonts w:ascii="Times New Roman" w:eastAsia="Google Sans Text" w:hAnsi="Times New Roman" w:cs="Times New Roman"/>
            <w:color w:val="000000"/>
          </w:rPr>
          <w:tag w:val="MENDELEY_CITATION_v3_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"/>
          <w:id w:val="1665431477"/>
          <w:placeholder>
            <w:docPart w:val="DefaultPlaceholder_-1854013440"/>
          </w:placeholder>
        </w:sdtPr>
        <w:sdtContent>
          <w:r>
            <w:rPr>
              <w:rFonts w:ascii="Times New Roman" w:eastAsia="Google Sans Text" w:hAnsi="Times New Roman" w:cs="Times New Roman"/>
              <w:color w:val="000000"/>
            </w:rPr>
            <w:t>(Corte Constitucional de Colombia, 2000)</w:t>
          </w:r>
        </w:sdtContent>
      </w:sdt>
      <w:r>
        <w:rPr>
          <w:rFonts w:ascii="Times New Roman" w:eastAsia="Google Sans Text" w:hAnsi="Times New Roman" w:cs="Times New Roman"/>
          <w:color w:val="1B1C1D"/>
        </w:rPr>
        <w:t>. Este fundamento se refuerza en el Artículo 48, que consagra la seguridad social como un servicio público de carácter obligatorio, sujeto a los principios de eficiencia, universalidad y, crucialmente, solidaridad.</w:t>
      </w:r>
    </w:p>
    <w:p w14:paraId="7BA79402"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t xml:space="preserve">La jurisprudencia constitucional ha interpretado el principio de solidaridad como el "eje del principio de igualdad material" </w:t>
      </w:r>
      <w:sdt>
        <w:sdtPr>
          <w:rPr>
            <w:rFonts w:ascii="Times New Roman" w:eastAsia="Google Sans Text" w:hAnsi="Times New Roman" w:cs="Times New Roman"/>
            <w:color w:val="000000"/>
          </w:rPr>
          <w:tag w:val="MENDELEY_CITATION_v3_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"/>
          <w:id w:val="1142225977"/>
          <w:placeholder>
            <w:docPart w:val="DefaultPlaceholder_-1854013440"/>
          </w:placeholder>
        </w:sdtPr>
        <w:sdtContent>
          <w:r>
            <w:rPr>
              <w:rFonts w:ascii="Times New Roman" w:eastAsia="Google Sans Text" w:hAnsi="Times New Roman" w:cs="Times New Roman"/>
              <w:color w:val="000000"/>
            </w:rPr>
            <w:t>(Consejo de Estado. Sala de consulta y servicio civil, 2012)</w:t>
          </w:r>
        </w:sdtContent>
      </w:sdt>
      <w:r>
        <w:rPr>
          <w:rFonts w:ascii="Times New Roman" w:eastAsia="Google Sans Text" w:hAnsi="Times New Roman" w:cs="Times New Roman"/>
          <w:color w:val="1B1C1D"/>
        </w:rPr>
        <w:t xml:space="preserve">. Esta interpretación faculta al legislador para crear las obligaciones necesarias que se deriven de </w:t>
      </w:r>
      <w:r>
        <w:rPr>
          <w:rFonts w:ascii="Times New Roman" w:eastAsia="Google Sans Text" w:hAnsi="Times New Roman" w:cs="Times New Roman"/>
          <w:color w:val="1B1C1D"/>
        </w:rPr>
        <w:lastRenderedPageBreak/>
        <w:t xml:space="preserve">su aplicación en las diversas relaciones sociales, incluyendo el deber del Estado de garantizar la protección social </w:t>
      </w:r>
      <w:sdt>
        <w:sdtPr>
          <w:rPr>
            <w:rFonts w:ascii="Times New Roman" w:eastAsia="Google Sans Text" w:hAnsi="Times New Roman" w:cs="Times New Roman"/>
            <w:color w:val="000000"/>
          </w:rPr>
          <w:tag w:val="MENDELEY_CITATION_v3_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"/>
          <w:id w:val="439802472"/>
          <w:placeholder>
            <w:docPart w:val="DefaultPlaceholder_-1854013440"/>
          </w:placeholder>
        </w:sdtPr>
        <w:sdtContent>
          <w:r>
            <w:rPr>
              <w:rFonts w:ascii="Times New Roman" w:eastAsia="Google Sans Text" w:hAnsi="Times New Roman" w:cs="Times New Roman"/>
              <w:color w:val="000000"/>
            </w:rPr>
            <w:t>(Consejo de Estado. Sala de consulta y servicio civil, 2012)</w:t>
          </w:r>
        </w:sdtContent>
      </w:sdt>
      <w:r>
        <w:rPr>
          <w:rFonts w:ascii="Times New Roman" w:eastAsia="Google Sans Text" w:hAnsi="Times New Roman" w:cs="Times New Roman"/>
          <w:color w:val="1B1C1D"/>
        </w:rPr>
        <w:t xml:space="preserve">. En el contexto pensional, la solidaridad se materializa en la idea de que las contribuciones de quienes poseen mayores ingresos o capacidad de pago se destinan a subsidiar a aquellos con menores ingresos o sin capacidad de cotización. Este mecanismo busca asegurar una protección mínima y una pensión digna para todos los ciudadanos, constituyendo la base de la "garantía de pensión mínima" </w:t>
      </w:r>
      <w:sdt>
        <w:sdtPr>
          <w:rPr>
            <w:rFonts w:ascii="Times New Roman" w:eastAsia="Google Sans Text" w:hAnsi="Times New Roman" w:cs="Times New Roman"/>
            <w:color w:val="000000"/>
          </w:rPr>
          <w:tag w:val="MENDELEY_CITATION_v3_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"/>
          <w:id w:val="690571263"/>
          <w:placeholder>
            <w:docPart w:val="DefaultPlaceholder_-1854013440"/>
          </w:placeholder>
        </w:sdtPr>
        <w:sdtContent>
          <w:r>
            <w:rPr>
              <w:rFonts w:ascii="Times New Roman" w:eastAsia="Google Sans Text" w:hAnsi="Times New Roman" w:cs="Times New Roman"/>
              <w:color w:val="000000"/>
            </w:rPr>
            <w:t>(Corte Constitucional de Colombia, 2024b)</w:t>
          </w:r>
        </w:sdtContent>
      </w:sdt>
      <w:r>
        <w:rPr>
          <w:rFonts w:ascii="Times New Roman" w:eastAsia="Google Sans Text" w:hAnsi="Times New Roman" w:cs="Times New Roman"/>
          <w:color w:val="1B1C1D"/>
        </w:rPr>
        <w:t>.</w:t>
      </w:r>
    </w:p>
    <w:p w14:paraId="66E61679"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t xml:space="preserve">El principio de solidaridad es un pilar fundamental del sistema de seguridad social colombiano, tal como lo ha reiterado la </w:t>
      </w:r>
      <w:sdt>
        <w:sdtPr>
          <w:rPr>
            <w:rFonts w:ascii="Times New Roman" w:eastAsia="Google Sans Text" w:hAnsi="Times New Roman" w:cs="Times New Roman"/>
            <w:color w:val="000000"/>
          </w:rPr>
          <w:tag w:val="MENDELEY_CITATION_v3_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"/>
          <w:id w:val="-975673248"/>
          <w:placeholder>
            <w:docPart w:val="DefaultPlaceholder_-1854013440"/>
          </w:placeholder>
        </w:sdtPr>
        <w:sdtContent>
          <w:r>
            <w:rPr>
              <w:rFonts w:ascii="Times New Roman" w:eastAsia="Google Sans Text" w:hAnsi="Times New Roman" w:cs="Times New Roman"/>
              <w:color w:val="000000"/>
            </w:rPr>
            <w:t>Corte Constitucional de Colombia (2000)</w:t>
          </w:r>
        </w:sdtContent>
      </w:sdt>
      <w:r>
        <w:rPr>
          <w:rFonts w:ascii="Times New Roman" w:eastAsia="Google Sans Text" w:hAnsi="Times New Roman" w:cs="Times New Roman"/>
          <w:color w:val="1B1C1D"/>
        </w:rPr>
        <w:t xml:space="preserve">. El diseño del sistema de pilares, en particular el Pilar Solidario y el incremento de las cotizaciones al FSP, se alinea con el mandato constitucional de solidaridad al redistribuir recursos de los segmentos con mayores ingresos hacia los más vulnerables </w:t>
      </w:r>
      <w:sdt>
        <w:sdtPr>
          <w:rPr>
            <w:rFonts w:ascii="Times New Roman" w:eastAsia="Google Sans Text" w:hAnsi="Times New Roman" w:cs="Times New Roman"/>
            <w:color w:val="000000"/>
          </w:rPr>
          <w:tag w:val="MENDELEY_CITATION_v3_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"/>
          <w:id w:val="595753501"/>
          <w:placeholder>
            <w:docPart w:val="DefaultPlaceholder_-1854013440"/>
          </w:placeholder>
        </w:sdtPr>
        <w:sdtContent>
          <w:r>
            <w:rPr>
              <w:rFonts w:ascii="Times New Roman" w:eastAsia="Google Sans Text" w:hAnsi="Times New Roman" w:cs="Times New Roman"/>
              <w:color w:val="000000"/>
            </w:rPr>
            <w:t>(Corte Constitucional de Colombia, 2024b)</w:t>
          </w:r>
        </w:sdtContent>
      </w:sdt>
      <w:r>
        <w:rPr>
          <w:rFonts w:ascii="Times New Roman" w:eastAsia="Google Sans Text" w:hAnsi="Times New Roman" w:cs="Times New Roman"/>
          <w:color w:val="1B1C1D"/>
        </w:rPr>
        <w:t xml:space="preserve">. La Procuraduría General de la Nación ha respaldado la legalidad del trámite legislativo, afirmando que la reforma busca fortalecer la seguridad social y proteger derechos </w:t>
      </w:r>
      <w:sdt>
        <w:sdtPr>
          <w:rPr>
            <w:rFonts w:ascii="Times New Roman" w:eastAsia="Google Sans Text" w:hAnsi="Times New Roman" w:cs="Times New Roman"/>
            <w:color w:val="000000"/>
          </w:rPr>
          <w:tag w:val="MENDELEY_CITATION_v3_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"/>
          <w:id w:val="-210032917"/>
          <w:placeholder>
            <w:docPart w:val="DefaultPlaceholder_-1854013440"/>
          </w:placeholder>
        </w:sdtPr>
        <w:sdtContent>
          <w:r>
            <w:rPr>
              <w:rFonts w:ascii="Times New Roman" w:eastAsia="Google Sans Text" w:hAnsi="Times New Roman" w:cs="Times New Roman"/>
              <w:color w:val="000000"/>
            </w:rPr>
            <w:t>(Moreno, 2025)</w:t>
          </w:r>
        </w:sdtContent>
      </w:sdt>
      <w:r>
        <w:rPr>
          <w:rFonts w:ascii="Times New Roman" w:eastAsia="Google Sans Text" w:hAnsi="Times New Roman" w:cs="Times New Roman"/>
          <w:color w:val="1B1C1D"/>
        </w:rPr>
        <w:t>. No obstante, como se abordará en la Sección 4, existen críticas y demandas de inconstitucionalidad que plantean posibles regresiones en materia de derechos sociales, como la modificación de la tributación de las pensiones, lo cual introduce una tensión con el principio de no regresividad.</w:t>
      </w:r>
    </w:p>
    <w:p w14:paraId="23F902A4"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t xml:space="preserve">En este sentido, el Fondo de Solidaridad Pensional (FSP) es un mecanismo crucial diseñado para que los trabajadores con ingresos más altos realicen una contribución adicional al sistema, subsidiando así a aquellos con menores ingresos y fortaleciendo la cobertura y sostenibilidad del régimen pensional, con lo cual la Ley 2381 de 2024 introduce ajustes significativos en los porcentajes de cotización a este fondo, incrementando la carga solidaria para </w:t>
      </w:r>
      <w:r>
        <w:rPr>
          <w:rFonts w:ascii="Times New Roman" w:eastAsia="Google Sans Text" w:hAnsi="Times New Roman" w:cs="Times New Roman"/>
          <w:color w:val="1B1C1D"/>
        </w:rPr>
        <w:lastRenderedPageBreak/>
        <w:t xml:space="preserve">los ingresos más altos. Esta medida, si bien se alinea con el principio de solidaridad, también tiene una profunda implicación fiscal, puesto que los recursos que antes se acumulaban en cuentas individuales en fondos privados, generando rendimientos para los afiliados, ahora se canalizan hacia un fondo común administrado por el Estado, con el Banco de la República como gestor para los recursos de Colpensiones </w:t>
      </w:r>
      <w:sdt>
        <w:sdtPr>
          <w:rPr>
            <w:rFonts w:ascii="Times New Roman" w:eastAsia="Google Sans Text" w:hAnsi="Times New Roman" w:cs="Times New Roman"/>
            <w:color w:val="000000"/>
          </w:rPr>
          <w:tag w:val="MENDELEY_CITATION_v3_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"/>
          <w:id w:val="1060834002"/>
          <w:placeholder>
            <w:docPart w:val="DefaultPlaceholder_-1854013440"/>
          </w:placeholder>
        </w:sdtPr>
        <w:sdtContent>
          <w:r>
            <w:rPr>
              <w:rFonts w:ascii="Times New Roman" w:eastAsia="Google Sans Text" w:hAnsi="Times New Roman" w:cs="Times New Roman"/>
              <w:color w:val="000000"/>
            </w:rPr>
            <w:t>(Colfondos, 2025)</w:t>
          </w:r>
        </w:sdtContent>
      </w:sdt>
      <w:r>
        <w:rPr>
          <w:rFonts w:ascii="Times New Roman" w:eastAsia="Google Sans Text" w:hAnsi="Times New Roman" w:cs="Times New Roman"/>
          <w:color w:val="000000"/>
        </w:rPr>
        <w:t>.</w:t>
      </w:r>
      <w:r>
        <w:rPr>
          <w:rFonts w:ascii="Times New Roman" w:eastAsia="Google Sans Text" w:hAnsi="Times New Roman" w:cs="Times New Roman"/>
          <w:color w:val="1B1C1D"/>
        </w:rPr>
        <w:t xml:space="preserve"> </w:t>
      </w:r>
    </w:p>
    <w:p w14:paraId="22E70986"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t>Esta centralización de fondos puede ser interpretada como un mecanismo para aliviar las presiones fiscales a corto y mediano plazo sobre el Presupuesto General de la Nación, al consolidar una base de cotizantes más amplia en el sistema público y potencialmente utilizar estos flujos para financiar las pensiones actuales y futuras, incluyendo el Pilar Solidario. La tensión surge en la sostenibilidad a largo plazo, ya que el sistema público se basa en un esquema de reparto, puesto que, aunque la solidaridad es un principio constitucional, su implementación a través de esta estructura fiscal podría generar críticas sobre la "apropiación" de los ahorros individuales para fines de sostenibilidad del sistema público, lo que, a su vez, podría afectar la confianza en el sistema pensional y la percepción de seguridad de los ahorros de los trabajadores.</w:t>
      </w:r>
    </w:p>
    <w:p w14:paraId="14651926" w14:textId="77777777" w:rsidR="00BE70E2" w:rsidRDefault="00000000">
      <w:pPr>
        <w:pStyle w:val="Descripcin"/>
        <w:rPr>
          <w:rFonts w:ascii="Times New Roman" w:eastAsia="Google Sans Text" w:hAnsi="Times New Roman" w:cs="Times New Roman"/>
          <w:b/>
          <w:bCs/>
          <w:i w:val="0"/>
          <w:iCs w:val="0"/>
          <w:color w:val="1B1C1D"/>
          <w:sz w:val="24"/>
          <w:szCs w:val="24"/>
        </w:rPr>
      </w:pPr>
      <w:bookmarkStart w:id="39" w:name="_Toc198910478"/>
      <w:r>
        <w:rPr>
          <w:b/>
          <w:bCs/>
          <w:i w:val="0"/>
          <w:iCs w:val="0"/>
          <w:sz w:val="24"/>
          <w:szCs w:val="24"/>
        </w:rPr>
        <w:t xml:space="preserve">Tabla </w:t>
      </w:r>
      <w:r>
        <w:rPr>
          <w:b/>
          <w:bCs/>
          <w:i w:val="0"/>
          <w:iCs w:val="0"/>
          <w:sz w:val="24"/>
          <w:szCs w:val="24"/>
        </w:rPr>
        <w:fldChar w:fldCharType="begin"/>
      </w:r>
      <w:r>
        <w:rPr>
          <w:b/>
          <w:bCs/>
          <w:i w:val="0"/>
          <w:iCs w:val="0"/>
          <w:sz w:val="24"/>
          <w:szCs w:val="24"/>
        </w:rPr>
        <w:instrText xml:space="preserve"> SEQ Tabla \* ARABIC </w:instrText>
      </w:r>
      <w:r>
        <w:rPr>
          <w:b/>
          <w:bCs/>
          <w:i w:val="0"/>
          <w:iCs w:val="0"/>
          <w:sz w:val="24"/>
          <w:szCs w:val="24"/>
        </w:rPr>
        <w:fldChar w:fldCharType="separate"/>
      </w:r>
      <w:r>
        <w:rPr>
          <w:b/>
          <w:bCs/>
          <w:i w:val="0"/>
          <w:iCs w:val="0"/>
          <w:sz w:val="24"/>
          <w:szCs w:val="24"/>
        </w:rPr>
        <w:t>3</w:t>
      </w:r>
      <w:r>
        <w:rPr>
          <w:b/>
          <w:bCs/>
          <w:i w:val="0"/>
          <w:iCs w:val="0"/>
          <w:sz w:val="24"/>
          <w:szCs w:val="24"/>
        </w:rPr>
        <w:fldChar w:fldCharType="end"/>
      </w:r>
      <w:r>
        <w:rPr>
          <w:b/>
          <w:bCs/>
          <w:i w:val="0"/>
          <w:iCs w:val="0"/>
          <w:sz w:val="24"/>
          <w:szCs w:val="24"/>
        </w:rPr>
        <w:t>.</w:t>
      </w:r>
      <w:r>
        <w:rPr>
          <w:rFonts w:ascii="Times New Roman" w:eastAsia="Google Sans Text" w:hAnsi="Times New Roman" w:cs="Times New Roman"/>
          <w:b/>
          <w:bCs/>
          <w:i w:val="0"/>
          <w:iCs w:val="0"/>
          <w:color w:val="1B1C1D"/>
          <w:sz w:val="24"/>
          <w:szCs w:val="24"/>
        </w:rPr>
        <w:t xml:space="preserve"> Comparativa de Aportes al Fondo de Solidaridad Pensional (Antes y Después de Ley 2381 de 2024)</w:t>
      </w:r>
      <w:bookmarkEnd w:id="39"/>
    </w:p>
    <w:tbl>
      <w:tblPr>
        <w:tblStyle w:val="Tablaconcuadrcula1clara-nfasis61"/>
        <w:tblW w:w="9360" w:type="dxa"/>
        <w:tblLayout w:type="fixed"/>
        <w:tblLook w:val="04A0" w:firstRow="1" w:lastRow="0" w:firstColumn="1" w:lastColumn="0" w:noHBand="0" w:noVBand="1"/>
      </w:tblPr>
      <w:tblGrid>
        <w:gridCol w:w="2340"/>
        <w:gridCol w:w="2340"/>
        <w:gridCol w:w="2340"/>
        <w:gridCol w:w="2340"/>
      </w:tblGrid>
      <w:tr w:rsidR="00BE70E2" w14:paraId="4DAC5424" w14:textId="77777777" w:rsidTr="00BE70E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tcPr>
          <w:p w14:paraId="05827484" w14:textId="77777777" w:rsidR="00BE70E2" w:rsidRDefault="00000000">
            <w:pPr>
              <w:spacing w:after="240" w:line="276" w:lineRule="auto"/>
              <w:ind w:firstLine="0"/>
              <w:rPr>
                <w:rFonts w:ascii="Times New Roman" w:eastAsia="Google Sans Text" w:hAnsi="Times New Roman" w:cs="Times New Roman"/>
                <w:b w:val="0"/>
                <w:color w:val="1B1C1D"/>
              </w:rPr>
            </w:pPr>
            <w:r>
              <w:rPr>
                <w:rFonts w:ascii="Times New Roman" w:eastAsia="Google Sans Text" w:hAnsi="Times New Roman" w:cs="Times New Roman"/>
                <w:color w:val="1B1C1D"/>
              </w:rPr>
              <w:t>Ingreso Base de Cotización (IBC) en SMLMV</w:t>
            </w:r>
          </w:p>
        </w:tc>
        <w:tc>
          <w:tcPr>
            <w:tcW w:w="2340" w:type="dxa"/>
          </w:tcPr>
          <w:p w14:paraId="78BC97C8" w14:textId="77777777" w:rsidR="00BE70E2" w:rsidRDefault="00000000">
            <w:pPr>
              <w:spacing w:after="240" w:line="276" w:lineRule="auto"/>
              <w:ind w:firstLine="0"/>
              <w:cnfStyle w:val="100000000000" w:firstRow="1" w:lastRow="0" w:firstColumn="0" w:lastColumn="0" w:oddVBand="0" w:evenVBand="0" w:oddHBand="0" w:evenHBand="0" w:firstRowFirstColumn="0" w:firstRowLastColumn="0" w:lastRowFirstColumn="0" w:lastRowLastColumn="0"/>
              <w:rPr>
                <w:rFonts w:ascii="Times New Roman" w:eastAsia="Google Sans Text" w:hAnsi="Times New Roman" w:cs="Times New Roman"/>
                <w:b w:val="0"/>
                <w:color w:val="1B1C1D"/>
              </w:rPr>
            </w:pPr>
            <w:r>
              <w:rPr>
                <w:rFonts w:ascii="Times New Roman" w:eastAsia="Google Sans Text" w:hAnsi="Times New Roman" w:cs="Times New Roman"/>
                <w:color w:val="1B1C1D"/>
              </w:rPr>
              <w:t>Porcentaje de Aporte Adicional (Hasta 30 de junio de 2025)</w:t>
            </w:r>
          </w:p>
        </w:tc>
        <w:tc>
          <w:tcPr>
            <w:tcW w:w="2340" w:type="dxa"/>
          </w:tcPr>
          <w:p w14:paraId="7617DDD2" w14:textId="77777777" w:rsidR="00BE70E2" w:rsidRDefault="00000000">
            <w:pPr>
              <w:spacing w:after="240" w:line="276" w:lineRule="auto"/>
              <w:ind w:firstLine="0"/>
              <w:cnfStyle w:val="100000000000" w:firstRow="1" w:lastRow="0" w:firstColumn="0" w:lastColumn="0" w:oddVBand="0" w:evenVBand="0" w:oddHBand="0" w:evenHBand="0" w:firstRowFirstColumn="0" w:firstRowLastColumn="0" w:lastRowFirstColumn="0" w:lastRowLastColumn="0"/>
              <w:rPr>
                <w:rFonts w:ascii="Times New Roman" w:eastAsia="Google Sans Text" w:hAnsi="Times New Roman" w:cs="Times New Roman"/>
                <w:b w:val="0"/>
                <w:color w:val="1B1C1D"/>
              </w:rPr>
            </w:pPr>
            <w:r>
              <w:rPr>
                <w:rFonts w:ascii="Times New Roman" w:eastAsia="Google Sans Text" w:hAnsi="Times New Roman" w:cs="Times New Roman"/>
                <w:color w:val="1B1C1D"/>
              </w:rPr>
              <w:t>Porcentaje de Aporte Adicional (Desde 1 de julio de 2025)</w:t>
            </w:r>
          </w:p>
        </w:tc>
        <w:tc>
          <w:tcPr>
            <w:tcW w:w="2340" w:type="dxa"/>
          </w:tcPr>
          <w:p w14:paraId="0CA5BF66" w14:textId="77777777" w:rsidR="00BE70E2" w:rsidRDefault="00000000">
            <w:pPr>
              <w:spacing w:after="240" w:line="276" w:lineRule="auto"/>
              <w:ind w:firstLine="0"/>
              <w:cnfStyle w:val="100000000000" w:firstRow="1" w:lastRow="0" w:firstColumn="0" w:lastColumn="0" w:oddVBand="0" w:evenVBand="0" w:oddHBand="0" w:evenHBand="0" w:firstRowFirstColumn="0" w:firstRowLastColumn="0" w:lastRowFirstColumn="0" w:lastRowLastColumn="0"/>
              <w:rPr>
                <w:rFonts w:ascii="Times New Roman" w:eastAsia="Google Sans Text" w:hAnsi="Times New Roman" w:cs="Times New Roman"/>
                <w:b w:val="0"/>
                <w:color w:val="1B1C1D"/>
              </w:rPr>
            </w:pPr>
            <w:r>
              <w:rPr>
                <w:rFonts w:ascii="Times New Roman" w:eastAsia="Google Sans Text" w:hAnsi="Times New Roman" w:cs="Times New Roman"/>
                <w:color w:val="1B1C1D"/>
              </w:rPr>
              <w:t>Aportes de Pensionados (Ley 2381 de 2024)</w:t>
            </w:r>
          </w:p>
        </w:tc>
      </w:tr>
      <w:tr w:rsidR="00BE70E2" w14:paraId="55D08C22" w14:textId="77777777" w:rsidTr="00BE70E2">
        <w:tc>
          <w:tcPr>
            <w:cnfStyle w:val="001000000000" w:firstRow="0" w:lastRow="0" w:firstColumn="1" w:lastColumn="0" w:oddVBand="0" w:evenVBand="0" w:oddHBand="0" w:evenHBand="0" w:firstRowFirstColumn="0" w:firstRowLastColumn="0" w:lastRowFirstColumn="0" w:lastRowLastColumn="0"/>
            <w:tcW w:w="2340" w:type="dxa"/>
          </w:tcPr>
          <w:p w14:paraId="6724C9BC" w14:textId="77777777" w:rsidR="00BE70E2" w:rsidRDefault="00000000">
            <w:pPr>
              <w:spacing w:after="240" w:line="276" w:lineRule="auto"/>
              <w:ind w:firstLine="0"/>
              <w:rPr>
                <w:rFonts w:ascii="Times New Roman" w:eastAsia="Google Sans Text" w:hAnsi="Times New Roman" w:cs="Times New Roman"/>
                <w:color w:val="1B1C1D"/>
              </w:rPr>
            </w:pPr>
            <w:r>
              <w:rPr>
                <w:rFonts w:ascii="Times New Roman" w:eastAsia="Google Sans Text" w:hAnsi="Times New Roman" w:cs="Times New Roman"/>
                <w:color w:val="1B1C1D"/>
              </w:rPr>
              <w:t>≥ 4 y &lt; 7 SMLMV</w:t>
            </w:r>
          </w:p>
        </w:tc>
        <w:tc>
          <w:tcPr>
            <w:tcW w:w="2340" w:type="dxa"/>
          </w:tcPr>
          <w:p w14:paraId="095C1747" w14:textId="77777777" w:rsidR="00BE70E2" w:rsidRDefault="00000000">
            <w:pPr>
              <w:spacing w:after="240"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1%</w:t>
            </w:r>
          </w:p>
        </w:tc>
        <w:tc>
          <w:tcPr>
            <w:tcW w:w="2340" w:type="dxa"/>
          </w:tcPr>
          <w:p w14:paraId="2CF5BA70" w14:textId="77777777" w:rsidR="00BE70E2" w:rsidRDefault="00000000">
            <w:pPr>
              <w:spacing w:after="240"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1.5%</w:t>
            </w:r>
          </w:p>
        </w:tc>
        <w:tc>
          <w:tcPr>
            <w:tcW w:w="2340" w:type="dxa"/>
          </w:tcPr>
          <w:p w14:paraId="69FE24A4" w14:textId="77777777" w:rsidR="00BE70E2" w:rsidRDefault="00000000">
            <w:pPr>
              <w:spacing w:after="240"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N/A</w:t>
            </w:r>
          </w:p>
        </w:tc>
      </w:tr>
      <w:tr w:rsidR="00BE70E2" w14:paraId="0147B8D7" w14:textId="77777777" w:rsidTr="00BE70E2">
        <w:tc>
          <w:tcPr>
            <w:cnfStyle w:val="001000000000" w:firstRow="0" w:lastRow="0" w:firstColumn="1" w:lastColumn="0" w:oddVBand="0" w:evenVBand="0" w:oddHBand="0" w:evenHBand="0" w:firstRowFirstColumn="0" w:firstRowLastColumn="0" w:lastRowFirstColumn="0" w:lastRowLastColumn="0"/>
            <w:tcW w:w="2340" w:type="dxa"/>
          </w:tcPr>
          <w:p w14:paraId="3C9CC50D" w14:textId="77777777" w:rsidR="00BE70E2" w:rsidRDefault="00000000">
            <w:pPr>
              <w:spacing w:after="240" w:line="276" w:lineRule="auto"/>
              <w:ind w:firstLine="0"/>
              <w:rPr>
                <w:rFonts w:ascii="Times New Roman" w:eastAsia="Google Sans Text" w:hAnsi="Times New Roman" w:cs="Times New Roman"/>
                <w:color w:val="1B1C1D"/>
              </w:rPr>
            </w:pPr>
            <w:r>
              <w:rPr>
                <w:rFonts w:ascii="Times New Roman" w:eastAsia="Google Sans Text" w:hAnsi="Times New Roman" w:cs="Times New Roman"/>
                <w:color w:val="1B1C1D"/>
              </w:rPr>
              <w:t>≥ 7 y &lt; 10 SMLMV</w:t>
            </w:r>
          </w:p>
        </w:tc>
        <w:tc>
          <w:tcPr>
            <w:tcW w:w="2340" w:type="dxa"/>
          </w:tcPr>
          <w:p w14:paraId="65404F40" w14:textId="77777777" w:rsidR="00BE70E2" w:rsidRDefault="00000000">
            <w:pPr>
              <w:spacing w:after="240"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1%</w:t>
            </w:r>
          </w:p>
        </w:tc>
        <w:tc>
          <w:tcPr>
            <w:tcW w:w="2340" w:type="dxa"/>
          </w:tcPr>
          <w:p w14:paraId="6F2D27AF" w14:textId="77777777" w:rsidR="00BE70E2" w:rsidRDefault="00000000">
            <w:pPr>
              <w:spacing w:after="240"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1.8%</w:t>
            </w:r>
          </w:p>
        </w:tc>
        <w:tc>
          <w:tcPr>
            <w:tcW w:w="2340" w:type="dxa"/>
          </w:tcPr>
          <w:p w14:paraId="325851D2" w14:textId="77777777" w:rsidR="00BE70E2" w:rsidRDefault="00000000">
            <w:pPr>
              <w:spacing w:after="240"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N/A</w:t>
            </w:r>
          </w:p>
        </w:tc>
      </w:tr>
      <w:tr w:rsidR="00BE70E2" w14:paraId="2D1977B0" w14:textId="77777777" w:rsidTr="00BE70E2">
        <w:tc>
          <w:tcPr>
            <w:cnfStyle w:val="001000000000" w:firstRow="0" w:lastRow="0" w:firstColumn="1" w:lastColumn="0" w:oddVBand="0" w:evenVBand="0" w:oddHBand="0" w:evenHBand="0" w:firstRowFirstColumn="0" w:firstRowLastColumn="0" w:lastRowFirstColumn="0" w:lastRowLastColumn="0"/>
            <w:tcW w:w="2340" w:type="dxa"/>
          </w:tcPr>
          <w:p w14:paraId="378AB186" w14:textId="77777777" w:rsidR="00BE70E2" w:rsidRDefault="00000000">
            <w:pPr>
              <w:spacing w:after="240" w:line="276" w:lineRule="auto"/>
              <w:ind w:firstLine="0"/>
              <w:rPr>
                <w:rFonts w:ascii="Times New Roman" w:eastAsia="Google Sans Text" w:hAnsi="Times New Roman" w:cs="Times New Roman"/>
                <w:color w:val="1B1C1D"/>
              </w:rPr>
            </w:pPr>
            <w:r>
              <w:rPr>
                <w:rFonts w:ascii="Times New Roman" w:eastAsia="Google Sans Text" w:hAnsi="Times New Roman" w:cs="Times New Roman"/>
                <w:color w:val="1B1C1D"/>
              </w:rPr>
              <w:t>≥ 10 y &lt; 13 SMLMV</w:t>
            </w:r>
          </w:p>
        </w:tc>
        <w:tc>
          <w:tcPr>
            <w:tcW w:w="2340" w:type="dxa"/>
          </w:tcPr>
          <w:p w14:paraId="5EC93BF8" w14:textId="77777777" w:rsidR="00BE70E2" w:rsidRDefault="00000000">
            <w:pPr>
              <w:spacing w:after="240"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1.2%</w:t>
            </w:r>
          </w:p>
        </w:tc>
        <w:tc>
          <w:tcPr>
            <w:tcW w:w="2340" w:type="dxa"/>
          </w:tcPr>
          <w:p w14:paraId="690E79AD" w14:textId="77777777" w:rsidR="00BE70E2" w:rsidRDefault="00000000">
            <w:pPr>
              <w:spacing w:after="240"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2.0%</w:t>
            </w:r>
          </w:p>
        </w:tc>
        <w:tc>
          <w:tcPr>
            <w:tcW w:w="2340" w:type="dxa"/>
          </w:tcPr>
          <w:p w14:paraId="6B5EC0DB" w14:textId="77777777" w:rsidR="00BE70E2" w:rsidRDefault="00000000">
            <w:pPr>
              <w:spacing w:after="240"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 xml:space="preserve">≥ 10 y ≤ 20 SMLMV: 1% </w:t>
            </w:r>
          </w:p>
        </w:tc>
      </w:tr>
      <w:tr w:rsidR="00BE70E2" w14:paraId="163AFE76" w14:textId="77777777" w:rsidTr="00BE70E2">
        <w:tc>
          <w:tcPr>
            <w:cnfStyle w:val="001000000000" w:firstRow="0" w:lastRow="0" w:firstColumn="1" w:lastColumn="0" w:oddVBand="0" w:evenVBand="0" w:oddHBand="0" w:evenHBand="0" w:firstRowFirstColumn="0" w:firstRowLastColumn="0" w:lastRowFirstColumn="0" w:lastRowLastColumn="0"/>
            <w:tcW w:w="2340" w:type="dxa"/>
          </w:tcPr>
          <w:p w14:paraId="45116498" w14:textId="77777777" w:rsidR="00BE70E2" w:rsidRDefault="00000000">
            <w:pPr>
              <w:spacing w:after="240" w:line="276" w:lineRule="auto"/>
              <w:ind w:firstLine="0"/>
              <w:rPr>
                <w:rFonts w:ascii="Times New Roman" w:eastAsia="Google Sans Text" w:hAnsi="Times New Roman" w:cs="Times New Roman"/>
                <w:color w:val="1B1C1D"/>
              </w:rPr>
            </w:pPr>
            <w:r>
              <w:rPr>
                <w:rFonts w:ascii="Times New Roman" w:eastAsia="Google Sans Text" w:hAnsi="Times New Roman" w:cs="Times New Roman"/>
                <w:color w:val="1B1C1D"/>
              </w:rPr>
              <w:lastRenderedPageBreak/>
              <w:t>≥ 13 y &lt; 16 SMLMV</w:t>
            </w:r>
          </w:p>
        </w:tc>
        <w:tc>
          <w:tcPr>
            <w:tcW w:w="2340" w:type="dxa"/>
          </w:tcPr>
          <w:p w14:paraId="474CE3E6" w14:textId="77777777" w:rsidR="00BE70E2" w:rsidRDefault="00000000">
            <w:pPr>
              <w:spacing w:after="240"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1.4%</w:t>
            </w:r>
          </w:p>
        </w:tc>
        <w:tc>
          <w:tcPr>
            <w:tcW w:w="2340" w:type="dxa"/>
          </w:tcPr>
          <w:p w14:paraId="6BCFCFBC" w14:textId="77777777" w:rsidR="00BE70E2" w:rsidRDefault="00000000">
            <w:pPr>
              <w:spacing w:after="240"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2.3%</w:t>
            </w:r>
          </w:p>
        </w:tc>
        <w:tc>
          <w:tcPr>
            <w:tcW w:w="2340" w:type="dxa"/>
          </w:tcPr>
          <w:p w14:paraId="1E614FB1" w14:textId="77777777" w:rsidR="00BE70E2" w:rsidRDefault="00000000">
            <w:pPr>
              <w:spacing w:after="240"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N/A</w:t>
            </w:r>
          </w:p>
        </w:tc>
      </w:tr>
      <w:tr w:rsidR="00BE70E2" w14:paraId="5A9C44EA" w14:textId="77777777" w:rsidTr="00BE70E2">
        <w:tc>
          <w:tcPr>
            <w:cnfStyle w:val="001000000000" w:firstRow="0" w:lastRow="0" w:firstColumn="1" w:lastColumn="0" w:oddVBand="0" w:evenVBand="0" w:oddHBand="0" w:evenHBand="0" w:firstRowFirstColumn="0" w:firstRowLastColumn="0" w:lastRowFirstColumn="0" w:lastRowLastColumn="0"/>
            <w:tcW w:w="2340" w:type="dxa"/>
          </w:tcPr>
          <w:p w14:paraId="7040C171" w14:textId="77777777" w:rsidR="00BE70E2" w:rsidRDefault="00000000">
            <w:pPr>
              <w:spacing w:after="240" w:line="276" w:lineRule="auto"/>
              <w:ind w:firstLine="0"/>
              <w:rPr>
                <w:rFonts w:ascii="Times New Roman" w:eastAsia="Google Sans Text" w:hAnsi="Times New Roman" w:cs="Times New Roman"/>
                <w:color w:val="1B1C1D"/>
              </w:rPr>
            </w:pPr>
            <w:r>
              <w:rPr>
                <w:rFonts w:ascii="Times New Roman" w:eastAsia="Google Sans Text" w:hAnsi="Times New Roman" w:cs="Times New Roman"/>
                <w:color w:val="1B1C1D"/>
              </w:rPr>
              <w:t>≥ 16 y &lt; 19 SMLMV</w:t>
            </w:r>
          </w:p>
        </w:tc>
        <w:tc>
          <w:tcPr>
            <w:tcW w:w="2340" w:type="dxa"/>
          </w:tcPr>
          <w:p w14:paraId="7F49FE50" w14:textId="77777777" w:rsidR="00BE70E2" w:rsidRDefault="00000000">
            <w:pPr>
              <w:spacing w:after="240"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1.6%</w:t>
            </w:r>
          </w:p>
        </w:tc>
        <w:tc>
          <w:tcPr>
            <w:tcW w:w="2340" w:type="dxa"/>
          </w:tcPr>
          <w:p w14:paraId="54AE436A" w14:textId="77777777" w:rsidR="00BE70E2" w:rsidRDefault="00000000">
            <w:pPr>
              <w:spacing w:after="240"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2.6%</w:t>
            </w:r>
          </w:p>
        </w:tc>
        <w:tc>
          <w:tcPr>
            <w:tcW w:w="2340" w:type="dxa"/>
          </w:tcPr>
          <w:p w14:paraId="3C5D1931" w14:textId="77777777" w:rsidR="00BE70E2" w:rsidRDefault="00000000">
            <w:pPr>
              <w:spacing w:after="240"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N/A</w:t>
            </w:r>
          </w:p>
        </w:tc>
      </w:tr>
      <w:tr w:rsidR="00BE70E2" w14:paraId="2A31C7FC" w14:textId="77777777" w:rsidTr="00BE70E2">
        <w:tc>
          <w:tcPr>
            <w:cnfStyle w:val="001000000000" w:firstRow="0" w:lastRow="0" w:firstColumn="1" w:lastColumn="0" w:oddVBand="0" w:evenVBand="0" w:oddHBand="0" w:evenHBand="0" w:firstRowFirstColumn="0" w:firstRowLastColumn="0" w:lastRowFirstColumn="0" w:lastRowLastColumn="0"/>
            <w:tcW w:w="2340" w:type="dxa"/>
          </w:tcPr>
          <w:p w14:paraId="380CB63A" w14:textId="77777777" w:rsidR="00BE70E2" w:rsidRDefault="00000000">
            <w:pPr>
              <w:spacing w:after="240" w:line="276" w:lineRule="auto"/>
              <w:ind w:firstLine="0"/>
              <w:rPr>
                <w:rFonts w:ascii="Times New Roman" w:eastAsia="Google Sans Text" w:hAnsi="Times New Roman" w:cs="Times New Roman"/>
                <w:color w:val="1B1C1D"/>
              </w:rPr>
            </w:pPr>
            <w:r>
              <w:rPr>
                <w:rFonts w:ascii="Times New Roman" w:eastAsia="Google Sans Text" w:hAnsi="Times New Roman" w:cs="Times New Roman"/>
                <w:color w:val="1B1C1D"/>
              </w:rPr>
              <w:t>≥ 19 y &lt; 20 SMLMV</w:t>
            </w:r>
          </w:p>
        </w:tc>
        <w:tc>
          <w:tcPr>
            <w:tcW w:w="2340" w:type="dxa"/>
          </w:tcPr>
          <w:p w14:paraId="5AB79427" w14:textId="77777777" w:rsidR="00BE70E2" w:rsidRDefault="00000000">
            <w:pPr>
              <w:spacing w:after="240"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1.8%</w:t>
            </w:r>
          </w:p>
        </w:tc>
        <w:tc>
          <w:tcPr>
            <w:tcW w:w="2340" w:type="dxa"/>
          </w:tcPr>
          <w:p w14:paraId="4FBB8824" w14:textId="77777777" w:rsidR="00BE70E2" w:rsidRDefault="00000000">
            <w:pPr>
              <w:spacing w:after="240"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2.8%</w:t>
            </w:r>
          </w:p>
        </w:tc>
        <w:tc>
          <w:tcPr>
            <w:tcW w:w="2340" w:type="dxa"/>
          </w:tcPr>
          <w:p w14:paraId="68629D19" w14:textId="77777777" w:rsidR="00BE70E2" w:rsidRDefault="00000000">
            <w:pPr>
              <w:spacing w:after="240"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N/A</w:t>
            </w:r>
          </w:p>
        </w:tc>
      </w:tr>
      <w:tr w:rsidR="00BE70E2" w14:paraId="058CF0F7" w14:textId="77777777" w:rsidTr="00BE70E2">
        <w:tc>
          <w:tcPr>
            <w:cnfStyle w:val="001000000000" w:firstRow="0" w:lastRow="0" w:firstColumn="1" w:lastColumn="0" w:oddVBand="0" w:evenVBand="0" w:oddHBand="0" w:evenHBand="0" w:firstRowFirstColumn="0" w:firstRowLastColumn="0" w:lastRowFirstColumn="0" w:lastRowLastColumn="0"/>
            <w:tcW w:w="2340" w:type="dxa"/>
          </w:tcPr>
          <w:p w14:paraId="52D1EAB5" w14:textId="77777777" w:rsidR="00BE70E2" w:rsidRDefault="00000000">
            <w:pPr>
              <w:spacing w:after="240" w:line="276" w:lineRule="auto"/>
              <w:ind w:firstLine="0"/>
              <w:rPr>
                <w:rFonts w:ascii="Times New Roman" w:eastAsia="Google Sans Text" w:hAnsi="Times New Roman" w:cs="Times New Roman"/>
                <w:color w:val="1B1C1D"/>
              </w:rPr>
            </w:pPr>
            <w:r>
              <w:rPr>
                <w:rFonts w:ascii="Times New Roman" w:eastAsia="Google Sans Text" w:hAnsi="Times New Roman" w:cs="Times New Roman"/>
                <w:color w:val="1B1C1D"/>
              </w:rPr>
              <w:t>&gt; 20 SMLMV</w:t>
            </w:r>
          </w:p>
        </w:tc>
        <w:tc>
          <w:tcPr>
            <w:tcW w:w="2340" w:type="dxa"/>
          </w:tcPr>
          <w:p w14:paraId="5A260BA0" w14:textId="77777777" w:rsidR="00BE70E2" w:rsidRDefault="00000000">
            <w:pPr>
              <w:spacing w:after="240"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2%</w:t>
            </w:r>
          </w:p>
        </w:tc>
        <w:tc>
          <w:tcPr>
            <w:tcW w:w="2340" w:type="dxa"/>
          </w:tcPr>
          <w:p w14:paraId="0098EC38" w14:textId="77777777" w:rsidR="00BE70E2" w:rsidRDefault="00000000">
            <w:pPr>
              <w:spacing w:after="240"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3.0%</w:t>
            </w:r>
          </w:p>
        </w:tc>
        <w:tc>
          <w:tcPr>
            <w:tcW w:w="2340" w:type="dxa"/>
          </w:tcPr>
          <w:p w14:paraId="05AAD3D3" w14:textId="77777777" w:rsidR="00BE70E2" w:rsidRDefault="00000000">
            <w:pPr>
              <w:spacing w:after="240" w:line="276"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 xml:space="preserve">&gt; 20 SMLMV: 2% </w:t>
            </w:r>
          </w:p>
        </w:tc>
      </w:tr>
    </w:tbl>
    <w:p w14:paraId="0B04F242" w14:textId="77777777" w:rsidR="00BE70E2" w:rsidRDefault="00000000">
      <w:pPr>
        <w:spacing w:after="240"/>
        <w:ind w:firstLine="0"/>
        <w:rPr>
          <w:rFonts w:ascii="Times New Roman" w:eastAsia="Google Sans Text" w:hAnsi="Times New Roman" w:cs="Times New Roman"/>
          <w:bCs/>
          <w:color w:val="1B1C1D"/>
        </w:rPr>
      </w:pPr>
      <w:r>
        <w:rPr>
          <w:rFonts w:ascii="Times New Roman" w:eastAsia="Google Sans Text" w:hAnsi="Times New Roman" w:cs="Times New Roman"/>
          <w:bCs/>
          <w:i/>
          <w:iCs/>
          <w:color w:val="1B1C1D"/>
        </w:rPr>
        <w:t>Nota:</w:t>
      </w:r>
      <w:r>
        <w:rPr>
          <w:rFonts w:ascii="Times New Roman" w:eastAsia="Google Sans Text" w:hAnsi="Times New Roman" w:cs="Times New Roman"/>
          <w:bCs/>
          <w:color w:val="1B1C1D"/>
        </w:rPr>
        <w:t xml:space="preserve"> elaboración propia</w:t>
      </w:r>
    </w:p>
    <w:p w14:paraId="57CE7CDB"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t xml:space="preserve">Un aspecto notable de la ley es su enfoque en la reparación de la brecha histórica para las mujeres trabajadoras, otorgándoles beneficios adicionales en la búsqueda de la igualdad </w:t>
      </w:r>
      <w:sdt>
        <w:sdtPr>
          <w:rPr>
            <w:rFonts w:ascii="Times New Roman" w:eastAsia="Google Sans Text" w:hAnsi="Times New Roman" w:cs="Times New Roman"/>
            <w:color w:val="000000"/>
          </w:rPr>
          <w:tag w:val="MENDELEY_CITATION_v3_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"/>
          <w:id w:val="454764587"/>
          <w:placeholder>
            <w:docPart w:val="F9EC021D40514AEBBA8647FECEF27C8F"/>
          </w:placeholder>
        </w:sdtPr>
        <w:sdtContent>
          <w:r>
            <w:rPr>
              <w:rFonts w:ascii="Times New Roman" w:eastAsia="Google Sans Text" w:hAnsi="Times New Roman" w:cs="Times New Roman"/>
              <w:color w:val="000000"/>
            </w:rPr>
            <w:t>(Colfondos, 2025; Simple, 2025)</w:t>
          </w:r>
        </w:sdtContent>
      </w:sdt>
      <w:r>
        <w:rPr>
          <w:rFonts w:ascii="Times New Roman" w:eastAsia="Google Sans Text" w:hAnsi="Times New Roman" w:cs="Times New Roman"/>
          <w:color w:val="1B1C1D"/>
        </w:rPr>
        <w:t xml:space="preserve">, lo que incluye el reconocimiento de 50 semanas de cotización por cada hijo, hasta un máximo de tres hijos. Según la </w:t>
      </w:r>
      <w:sdt>
        <w:sdtPr>
          <w:rPr>
            <w:rFonts w:ascii="Times New Roman" w:eastAsia="Google Sans Text" w:hAnsi="Times New Roman" w:cs="Times New Roman"/>
            <w:color w:val="000000"/>
          </w:rPr>
          <w:tag w:val="MENDELEY_CITATION_v3_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"/>
          <w:id w:val="653882479"/>
          <w:placeholder>
            <w:docPart w:val="DefaultPlaceholder_-1854013440"/>
          </w:placeholder>
        </w:sdtPr>
        <w:sdtContent>
          <w:r>
            <w:rPr>
              <w:rFonts w:ascii="Times New Roman" w:eastAsia="Google Sans Text" w:hAnsi="Times New Roman" w:cs="Times New Roman"/>
              <w:color w:val="000000"/>
            </w:rPr>
            <w:t>Organización Internacional del Trabajo [OIT] (2025)</w:t>
          </w:r>
        </w:sdtContent>
      </w:sdt>
      <w:r>
        <w:rPr>
          <w:rFonts w:ascii="Times New Roman" w:eastAsia="Google Sans Text" w:hAnsi="Times New Roman" w:cs="Times New Roman"/>
          <w:color w:val="000000"/>
        </w:rPr>
        <w:t xml:space="preserve"> </w:t>
      </w:r>
      <w:r>
        <w:rPr>
          <w:rFonts w:ascii="Times New Roman" w:eastAsia="Google Sans Text" w:hAnsi="Times New Roman" w:cs="Times New Roman"/>
          <w:color w:val="1B1C1D"/>
        </w:rPr>
        <w:t>la Ley 2381 se alinea con el Convenio núm. 102 en lo que respecta a la responsabilidad general del Estado y podría incrementar la cobertura efectiva del sistema, puesto que, en abril de 2024, la proporción de asalariados que cotizaban al Sistema General de Pensiones ya alcanzaba aproximadamente el 72%, superando el nivel mínimo de cobertura exigido por dicho Convenio.</w:t>
      </w:r>
    </w:p>
    <w:p w14:paraId="2798D2C0" w14:textId="77777777" w:rsidR="00BE70E2" w:rsidRDefault="00000000">
      <w:pPr>
        <w:pStyle w:val="Ttulo2"/>
      </w:pPr>
      <w:bookmarkStart w:id="40" w:name="_Toc203825868"/>
      <w:r>
        <w:t>7.2. Análisis de la Pensión Anticipada de Vejez y su Relación con los Derechos Adquiridos</w:t>
      </w:r>
      <w:bookmarkEnd w:id="40"/>
    </w:p>
    <w:p w14:paraId="2CD9C686"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t xml:space="preserve">El Artículo 58 de la Constitución Política de Colombia establece una garantía fundamental: la propiedad privada y los demás derechos adquiridos "con arreglo a las leyes civiles" no pueden ser desconocidos ni vulnerados por leyes posteriores </w:t>
      </w:r>
      <w:sdt>
        <w:sdtPr>
          <w:rPr>
            <w:rFonts w:ascii="Times New Roman" w:eastAsia="Google Sans Text" w:hAnsi="Times New Roman" w:cs="Times New Roman"/>
            <w:color w:val="000000"/>
          </w:rPr>
          <w:tag w:val="MENDELEY_CITATION_v3_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"/>
          <w:id w:val="2028979454"/>
          <w:placeholder>
            <w:docPart w:val="DefaultPlaceholder_-1854013440"/>
          </w:placeholder>
        </w:sdtPr>
        <w:sdtContent>
          <w:r>
            <w:rPr>
              <w:rFonts w:ascii="Times New Roman" w:eastAsia="Google Sans Text" w:hAnsi="Times New Roman" w:cs="Times New Roman"/>
              <w:color w:val="000000"/>
            </w:rPr>
            <w:t>(Consejo de Estado. Sala de lo Contencioso administrativo, 2014; Corte Constitucional de Colombia, 2002)</w:t>
          </w:r>
        </w:sdtContent>
      </w:sdt>
      <w:r>
        <w:rPr>
          <w:rFonts w:ascii="Times New Roman" w:eastAsia="Google Sans Text" w:hAnsi="Times New Roman" w:cs="Times New Roman"/>
          <w:color w:val="1B1C1D"/>
        </w:rPr>
        <w:t xml:space="preserve">. La Corte Constitucional ha precisado que los derechos adquiridos son "situaciones concretas consolidadas en vigencia de la ley que es interpretada, reformada o derogada por la subsiguiente" </w:t>
      </w:r>
      <w:sdt>
        <w:sdtPr>
          <w:rPr>
            <w:rFonts w:ascii="Times New Roman" w:eastAsia="Google Sans Text" w:hAnsi="Times New Roman" w:cs="Times New Roman"/>
            <w:color w:val="000000"/>
          </w:rPr>
          <w:tag w:val="MENDELEY_CITATION_v3_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"/>
          <w:id w:val="-1267303979"/>
          <w:placeholder>
            <w:docPart w:val="DefaultPlaceholder_-1854013440"/>
          </w:placeholder>
        </w:sdtPr>
        <w:sdtContent>
          <w:r>
            <w:rPr>
              <w:rFonts w:ascii="Times New Roman" w:eastAsia="Google Sans Text" w:hAnsi="Times New Roman" w:cs="Times New Roman"/>
              <w:color w:val="000000"/>
            </w:rPr>
            <w:t>(Corte Constitucional de Colombia, 2002)</w:t>
          </w:r>
        </w:sdtContent>
      </w:sdt>
      <w:r>
        <w:rPr>
          <w:rFonts w:ascii="Times New Roman" w:eastAsia="Google Sans Text" w:hAnsi="Times New Roman" w:cs="Times New Roman"/>
          <w:color w:val="1B1C1D"/>
        </w:rPr>
        <w:t xml:space="preserve">. Sin embargo, la misma Corporación ha aclarado que esta </w:t>
      </w:r>
      <w:r>
        <w:rPr>
          <w:rFonts w:ascii="Times New Roman" w:eastAsia="Google Sans Text" w:hAnsi="Times New Roman" w:cs="Times New Roman"/>
          <w:color w:val="1B1C1D"/>
        </w:rPr>
        <w:lastRenderedPageBreak/>
        <w:t>garantía no implica la inmutabilidad de todas las situaciones jurídicas generadas bajo una ley anterior, ya que ello limitaría la facultad del legislador para adaptar el ordenamiento jurídico a las cambiantes necesidades sociales.</w:t>
      </w:r>
    </w:p>
    <w:p w14:paraId="39A1D40D"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t xml:space="preserve">En el ámbito pensional, un derecho se considera adquirido cuando el individuo ha cumplido la totalidad de los requisitos exigidos por la ley para acceder a la prestación, y este derecho debe ser respetado por las leyes que se expidan con posterioridad </w:t>
      </w:r>
      <w:sdt>
        <w:sdtPr>
          <w:rPr>
            <w:rFonts w:ascii="Times New Roman" w:eastAsia="Google Sans Text" w:hAnsi="Times New Roman" w:cs="Times New Roman"/>
            <w:color w:val="000000"/>
          </w:rPr>
          <w:tag w:val="MENDELEY_CITATION_v3_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"/>
          <w:id w:val="-1495341100"/>
          <w:placeholder>
            <w:docPart w:val="DefaultPlaceholder_-1854013440"/>
          </w:placeholder>
        </w:sdtPr>
        <w:sdtContent>
          <w:r>
            <w:rPr>
              <w:rFonts w:ascii="Times New Roman" w:eastAsia="Google Sans Text" w:hAnsi="Times New Roman" w:cs="Times New Roman"/>
              <w:color w:val="000000"/>
            </w:rPr>
            <w:t>(Corte Suprema de Justicia de Colombia, 2023)</w:t>
          </w:r>
        </w:sdtContent>
      </w:sdt>
      <w:r>
        <w:rPr>
          <w:rFonts w:ascii="Times New Roman" w:eastAsia="Google Sans Text" w:hAnsi="Times New Roman" w:cs="Times New Roman"/>
          <w:color w:val="000000"/>
        </w:rPr>
        <w:t xml:space="preserve">. </w:t>
      </w:r>
      <w:r>
        <w:rPr>
          <w:rFonts w:ascii="Times New Roman" w:eastAsia="Google Sans Text" w:hAnsi="Times New Roman" w:cs="Times New Roman"/>
          <w:color w:val="1B1C1D"/>
        </w:rPr>
        <w:t xml:space="preserve">Un principio cardinal en esta materia es el de progresividad y no regresividad de los derechos laborales y de la seguridad social, consagrado en tratados y convenios internacionales como el Artículo 2 del Pacto Internacional de Derechos Económicos, Sociales y Culturales (PIDESC) </w:t>
      </w:r>
      <w:sdt>
        <w:sdtPr>
          <w:rPr>
            <w:rFonts w:ascii="Times New Roman" w:eastAsia="Google Sans Text" w:hAnsi="Times New Roman" w:cs="Times New Roman"/>
            <w:color w:val="000000"/>
          </w:rPr>
          <w:tag w:val="MENDELEY_CITATION_v3_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"/>
          <w:id w:val="1479729016"/>
          <w:placeholder>
            <w:docPart w:val="DefaultPlaceholder_-1854013440"/>
          </w:placeholder>
        </w:sdtPr>
        <w:sdtContent>
          <w:r>
            <w:rPr>
              <w:rFonts w:ascii="Times New Roman" w:eastAsia="Google Sans Text" w:hAnsi="Times New Roman" w:cs="Times New Roman"/>
              <w:color w:val="000000"/>
            </w:rPr>
            <w:t>(1992)</w:t>
          </w:r>
        </w:sdtContent>
      </w:sdt>
      <w:r>
        <w:rPr>
          <w:rFonts w:ascii="Times New Roman" w:eastAsia="Google Sans Text" w:hAnsi="Times New Roman" w:cs="Times New Roman"/>
          <w:color w:val="1B1C1D"/>
        </w:rPr>
        <w:t>, establece que, una vez alcanzado un mínimo de protección (derechos adquiridos), el objetivo primordial del ordenamiento jurídico es su amparo. Cualquier retroceso en estos derechos debe estar justificado por "imperiosas razones" que deben ser demostradas en el trámite legislativo.</w:t>
      </w:r>
    </w:p>
    <w:p w14:paraId="1050DA9B"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t xml:space="preserve">La Ley 2381 introduce la figura de la "pensión anticipada de vejez" para aquellos que, sin cumplir la totalidad de las 1.300 semanas requeridas, hayan cotizado entre 1.000 y 1.299 semanas, para lo cual se debe cumplir con el requisito de edad (62 años para mujeres y 65 años para hombres), y no estar cubierto por el régimen de transición  </w:t>
      </w:r>
      <w:sdt>
        <w:sdtPr>
          <w:rPr>
            <w:rFonts w:ascii="Times New Roman" w:eastAsia="Google Sans Text" w:hAnsi="Times New Roman" w:cs="Times New Roman"/>
            <w:color w:val="000000"/>
          </w:rPr>
          <w:tag w:val="MENDELEY_CITATION_v3_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"/>
          <w:id w:val="-2089834999"/>
          <w:placeholder>
            <w:docPart w:val="DefaultPlaceholder_-1854013440"/>
          </w:placeholder>
        </w:sdtPr>
        <w:sdtContent>
          <w:r>
            <w:rPr>
              <w:rFonts w:ascii="Times New Roman" w:eastAsia="Google Sans Text" w:hAnsi="Times New Roman" w:cs="Times New Roman"/>
              <w:color w:val="000000"/>
            </w:rPr>
            <w:t>(Moreno, 2025)</w:t>
          </w:r>
        </w:sdtContent>
      </w:sdt>
      <w:r>
        <w:rPr>
          <w:rFonts w:ascii="Times New Roman" w:eastAsia="Google Sans Text" w:hAnsi="Times New Roman" w:cs="Times New Roman"/>
          <w:color w:val="1B1C1D"/>
        </w:rPr>
        <w:t xml:space="preserve">. El beneficiario de esta prestación recibe un ingreso mensual proporcional a las semanas cotizadas hasta ese momento, de esto se resalta, una característica distintiva de este sistema ya que una parte de esta prestación se descuenta mensualmente y se convierte en cotización hasta completar las semanas faltantes para alcanzar las 1.300 y luego de esto se ajusta el monto de la mesada </w:t>
      </w:r>
      <w:sdt>
        <w:sdtPr>
          <w:rPr>
            <w:rFonts w:ascii="Times New Roman" w:eastAsia="Google Sans Text" w:hAnsi="Times New Roman" w:cs="Times New Roman"/>
            <w:color w:val="000000"/>
          </w:rPr>
          <w:tag w:val="MENDELEY_CITATION_v3_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"/>
          <w:id w:val="-986089339"/>
          <w:placeholder>
            <w:docPart w:val="DefaultPlaceholder_-1854013440"/>
          </w:placeholder>
        </w:sdtPr>
        <w:sdtContent>
          <w:r>
            <w:rPr>
              <w:rFonts w:ascii="Times New Roman" w:eastAsia="Google Sans Text" w:hAnsi="Times New Roman" w:cs="Times New Roman"/>
              <w:color w:val="000000"/>
            </w:rPr>
            <w:t xml:space="preserve">(Actualícese, </w:t>
          </w:r>
          <w:r>
            <w:rPr>
              <w:rFonts w:ascii="Times New Roman" w:eastAsia="Google Sans Text" w:hAnsi="Times New Roman" w:cs="Times New Roman"/>
              <w:color w:val="000000"/>
            </w:rPr>
            <w:lastRenderedPageBreak/>
            <w:t>2024; Colfondos, 2025)</w:t>
          </w:r>
        </w:sdtContent>
      </w:sdt>
      <w:r>
        <w:rPr>
          <w:rFonts w:ascii="Times New Roman" w:eastAsia="Google Sans Text" w:hAnsi="Times New Roman" w:cs="Times New Roman"/>
          <w:color w:val="1B1C1D"/>
        </w:rPr>
        <w:t xml:space="preserve">, aplicable a la pensión por invalidez siempre que se cumpla con la edad de 50 años (mujeres) o 55 años (hombres) y hayan cotizado 1.000 o más semanas </w:t>
      </w:r>
    </w:p>
    <w:p w14:paraId="08DF24A9"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t xml:space="preserve">Este mecanismo puede interpretarse como una medida progresiva que protege las expectativas legítimas de pensión, incluso cuando el derecho pleno no se ha consolidado, al permitir un acceso anticipado a una prestación y establecer un mecanismo para "completar" las cotizaciones, se busca evitar que un número significativo de personas queden desprotegidas en la vejez. Sin embargo, es fundamental distinguirlo de un derecho adquirido pleno, ya que implica una deducción por las semanas faltantes. La figura de la "pensión anticipada de vejez" es un mecanismo innovador que busca proteger a quienes, habiendo cotizado un número significativo de semanas, no alcanzan el requisito completo. </w:t>
      </w:r>
    </w:p>
    <w:p w14:paraId="738E0B48"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t>Esta disposición revela una tensión implícita entre la protección de la expectativa de pensión y la necesidad de sostenibilidad del sistema. Al permitir el acceso anticipado, el Estado asume un riesgo al comenzar a pagar una prestación antes de que se cumplan todos los requisitos. Sin embargo, al descontar las cotizaciones faltantes, el riesgo se comparte con el beneficiario, quien efectivamente "paga" por la anticipación de su beneficio. Esto indica que la reforma busca ser más inclusiva y solidaria al brindar una solución a quienes podrían quedar sin pensión, pero lo hace bajo un modelo de "crédito pensional" que mantiene la responsabilidad del afiliado.</w:t>
      </w:r>
    </w:p>
    <w:p w14:paraId="2B53C996" w14:textId="77777777" w:rsidR="00BE70E2" w:rsidRDefault="00000000">
      <w:pPr>
        <w:pStyle w:val="Descripcin"/>
        <w:rPr>
          <w:rFonts w:ascii="Times New Roman" w:eastAsia="Google Sans" w:hAnsi="Times New Roman" w:cs="Times New Roman"/>
          <w:color w:val="1B1C1D"/>
          <w:sz w:val="24"/>
          <w:szCs w:val="24"/>
        </w:rPr>
      </w:pPr>
      <w:bookmarkStart w:id="41" w:name="_Toc198910479"/>
      <w:r>
        <w:rPr>
          <w:b/>
          <w:bCs/>
          <w:i w:val="0"/>
          <w:iCs w:val="0"/>
          <w:sz w:val="24"/>
          <w:szCs w:val="24"/>
        </w:rPr>
        <w:t xml:space="preserve">Tabla </w:t>
      </w:r>
      <w:r>
        <w:rPr>
          <w:b/>
          <w:bCs/>
          <w:i w:val="0"/>
          <w:iCs w:val="0"/>
          <w:sz w:val="24"/>
          <w:szCs w:val="24"/>
        </w:rPr>
        <w:fldChar w:fldCharType="begin"/>
      </w:r>
      <w:r>
        <w:rPr>
          <w:b/>
          <w:bCs/>
          <w:i w:val="0"/>
          <w:iCs w:val="0"/>
          <w:sz w:val="24"/>
          <w:szCs w:val="24"/>
        </w:rPr>
        <w:instrText xml:space="preserve"> SEQ Tabla \* ARABIC </w:instrText>
      </w:r>
      <w:r>
        <w:rPr>
          <w:b/>
          <w:bCs/>
          <w:i w:val="0"/>
          <w:iCs w:val="0"/>
          <w:sz w:val="24"/>
          <w:szCs w:val="24"/>
        </w:rPr>
        <w:fldChar w:fldCharType="separate"/>
      </w:r>
      <w:r>
        <w:rPr>
          <w:b/>
          <w:bCs/>
          <w:i w:val="0"/>
          <w:iCs w:val="0"/>
          <w:sz w:val="24"/>
          <w:szCs w:val="24"/>
        </w:rPr>
        <w:t>4</w:t>
      </w:r>
      <w:r>
        <w:rPr>
          <w:b/>
          <w:bCs/>
          <w:i w:val="0"/>
          <w:iCs w:val="0"/>
          <w:sz w:val="24"/>
          <w:szCs w:val="24"/>
        </w:rPr>
        <w:fldChar w:fldCharType="end"/>
      </w:r>
      <w:r>
        <w:rPr>
          <w:b/>
          <w:bCs/>
          <w:i w:val="0"/>
          <w:iCs w:val="0"/>
          <w:sz w:val="24"/>
          <w:szCs w:val="24"/>
        </w:rPr>
        <w:t>.</w:t>
      </w:r>
      <w:r>
        <w:rPr>
          <w:rFonts w:ascii="Times New Roman" w:eastAsia="Google Sans" w:hAnsi="Times New Roman" w:cs="Times New Roman"/>
          <w:b/>
          <w:bCs/>
          <w:i w:val="0"/>
          <w:iCs w:val="0"/>
          <w:color w:val="1B1C1D"/>
          <w:sz w:val="24"/>
          <w:szCs w:val="24"/>
        </w:rPr>
        <w:t xml:space="preserve"> Requisitos</w:t>
      </w:r>
      <w:r>
        <w:rPr>
          <w:rFonts w:ascii="Times New Roman" w:eastAsia="Google Sans" w:hAnsi="Times New Roman" w:cs="Times New Roman"/>
          <w:b/>
          <w:i w:val="0"/>
          <w:color w:val="1B1C1D"/>
          <w:sz w:val="24"/>
          <w:szCs w:val="24"/>
        </w:rPr>
        <w:t xml:space="preserve"> Clave para Acceso a Prestaciones de Vejez (Ley 2381 de 2024)</w:t>
      </w:r>
      <w:bookmarkEnd w:id="41"/>
    </w:p>
    <w:tbl>
      <w:tblPr>
        <w:tblStyle w:val="Tablaconcuadrcula1clara-nfasis51"/>
        <w:tblW w:w="9360" w:type="dxa"/>
        <w:tblLayout w:type="fixed"/>
        <w:tblLook w:val="04A0" w:firstRow="1" w:lastRow="0" w:firstColumn="1" w:lastColumn="0" w:noHBand="0" w:noVBand="1"/>
      </w:tblPr>
      <w:tblGrid>
        <w:gridCol w:w="2340"/>
        <w:gridCol w:w="2340"/>
        <w:gridCol w:w="2340"/>
        <w:gridCol w:w="2340"/>
      </w:tblGrid>
      <w:tr w:rsidR="00BE70E2" w14:paraId="20C966A3" w14:textId="77777777" w:rsidTr="00BE70E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40" w:type="dxa"/>
          </w:tcPr>
          <w:p w14:paraId="48693FDB" w14:textId="77777777" w:rsidR="00BE70E2" w:rsidRDefault="00000000">
            <w:pPr>
              <w:spacing w:before="120" w:after="120" w:line="240" w:lineRule="auto"/>
              <w:ind w:firstLine="0"/>
              <w:rPr>
                <w:rFonts w:ascii="Times New Roman" w:eastAsia="Google Sans Text" w:hAnsi="Times New Roman" w:cs="Times New Roman"/>
                <w:b w:val="0"/>
                <w:color w:val="1B1C1D"/>
              </w:rPr>
            </w:pPr>
            <w:r>
              <w:rPr>
                <w:rFonts w:ascii="Times New Roman" w:eastAsia="Google Sans Text" w:hAnsi="Times New Roman" w:cs="Times New Roman"/>
                <w:color w:val="1B1C1D"/>
              </w:rPr>
              <w:t>Tipo de Prestación</w:t>
            </w:r>
          </w:p>
        </w:tc>
        <w:tc>
          <w:tcPr>
            <w:tcW w:w="2340" w:type="dxa"/>
          </w:tcPr>
          <w:p w14:paraId="08C38F86" w14:textId="77777777" w:rsidR="00BE70E2" w:rsidRDefault="00000000">
            <w:pPr>
              <w:spacing w:before="120" w:after="120" w:line="240" w:lineRule="auto"/>
              <w:ind w:firstLine="0"/>
              <w:cnfStyle w:val="100000000000" w:firstRow="1" w:lastRow="0" w:firstColumn="0" w:lastColumn="0" w:oddVBand="0" w:evenVBand="0" w:oddHBand="0" w:evenHBand="0" w:firstRowFirstColumn="0" w:firstRowLastColumn="0" w:lastRowFirstColumn="0" w:lastRowLastColumn="0"/>
              <w:rPr>
                <w:rFonts w:ascii="Times New Roman" w:eastAsia="Google Sans Text" w:hAnsi="Times New Roman" w:cs="Times New Roman"/>
                <w:b w:val="0"/>
                <w:color w:val="1B1C1D"/>
              </w:rPr>
            </w:pPr>
            <w:r>
              <w:rPr>
                <w:rFonts w:ascii="Times New Roman" w:eastAsia="Google Sans Text" w:hAnsi="Times New Roman" w:cs="Times New Roman"/>
                <w:color w:val="1B1C1D"/>
              </w:rPr>
              <w:t>Requisitos de Edad (Hombres/Mujeres)</w:t>
            </w:r>
          </w:p>
        </w:tc>
        <w:tc>
          <w:tcPr>
            <w:tcW w:w="2340" w:type="dxa"/>
          </w:tcPr>
          <w:p w14:paraId="5165CEC9" w14:textId="77777777" w:rsidR="00BE70E2" w:rsidRDefault="00000000">
            <w:pPr>
              <w:spacing w:before="120" w:after="120" w:line="240" w:lineRule="auto"/>
              <w:ind w:firstLine="0"/>
              <w:cnfStyle w:val="100000000000" w:firstRow="1" w:lastRow="0" w:firstColumn="0" w:lastColumn="0" w:oddVBand="0" w:evenVBand="0" w:oddHBand="0" w:evenHBand="0" w:firstRowFirstColumn="0" w:firstRowLastColumn="0" w:lastRowFirstColumn="0" w:lastRowLastColumn="0"/>
              <w:rPr>
                <w:rFonts w:ascii="Times New Roman" w:eastAsia="Google Sans Text" w:hAnsi="Times New Roman" w:cs="Times New Roman"/>
                <w:b w:val="0"/>
                <w:color w:val="1B1C1D"/>
              </w:rPr>
            </w:pPr>
            <w:r>
              <w:rPr>
                <w:rFonts w:ascii="Times New Roman" w:eastAsia="Google Sans Text" w:hAnsi="Times New Roman" w:cs="Times New Roman"/>
                <w:color w:val="1B1C1D"/>
              </w:rPr>
              <w:t>Requisitos de Semanas/Aportes/Condiciones</w:t>
            </w:r>
          </w:p>
        </w:tc>
        <w:tc>
          <w:tcPr>
            <w:tcW w:w="2340" w:type="dxa"/>
          </w:tcPr>
          <w:p w14:paraId="49BADD52" w14:textId="77777777" w:rsidR="00BE70E2" w:rsidRDefault="00000000">
            <w:pPr>
              <w:spacing w:before="120" w:after="120" w:line="240" w:lineRule="auto"/>
              <w:ind w:firstLine="0"/>
              <w:cnfStyle w:val="100000000000" w:firstRow="1" w:lastRow="0" w:firstColumn="0" w:lastColumn="0" w:oddVBand="0" w:evenVBand="0" w:oddHBand="0" w:evenHBand="0" w:firstRowFirstColumn="0" w:firstRowLastColumn="0" w:lastRowFirstColumn="0" w:lastRowLastColumn="0"/>
              <w:rPr>
                <w:rFonts w:ascii="Times New Roman" w:eastAsia="Google Sans Text" w:hAnsi="Times New Roman" w:cs="Times New Roman"/>
                <w:b w:val="0"/>
                <w:color w:val="1B1C1D"/>
              </w:rPr>
            </w:pPr>
            <w:r>
              <w:rPr>
                <w:rFonts w:ascii="Times New Roman" w:eastAsia="Google Sans Text" w:hAnsi="Times New Roman" w:cs="Times New Roman"/>
                <w:color w:val="1B1C1D"/>
              </w:rPr>
              <w:t>Beneficio/Monto Aproximado</w:t>
            </w:r>
          </w:p>
        </w:tc>
      </w:tr>
      <w:tr w:rsidR="00BE70E2" w14:paraId="3A14D98A" w14:textId="77777777" w:rsidTr="00BE70E2">
        <w:tc>
          <w:tcPr>
            <w:cnfStyle w:val="001000000000" w:firstRow="0" w:lastRow="0" w:firstColumn="1" w:lastColumn="0" w:oddVBand="0" w:evenVBand="0" w:oddHBand="0" w:evenHBand="0" w:firstRowFirstColumn="0" w:firstRowLastColumn="0" w:lastRowFirstColumn="0" w:lastRowLastColumn="0"/>
            <w:tcW w:w="2340" w:type="dxa"/>
          </w:tcPr>
          <w:p w14:paraId="69733881" w14:textId="77777777" w:rsidR="00BE70E2" w:rsidRDefault="00000000">
            <w:pPr>
              <w:spacing w:before="120" w:after="120" w:line="240" w:lineRule="auto"/>
              <w:ind w:firstLine="0"/>
              <w:rPr>
                <w:rFonts w:ascii="Times New Roman" w:eastAsia="Google Sans Text" w:hAnsi="Times New Roman" w:cs="Times New Roman"/>
                <w:b w:val="0"/>
                <w:color w:val="1B1C1D"/>
              </w:rPr>
            </w:pPr>
            <w:r>
              <w:rPr>
                <w:rFonts w:ascii="Times New Roman" w:eastAsia="Google Sans Text" w:hAnsi="Times New Roman" w:cs="Times New Roman"/>
                <w:color w:val="1B1C1D"/>
              </w:rPr>
              <w:lastRenderedPageBreak/>
              <w:t>Pensión Integral de Vejez</w:t>
            </w:r>
          </w:p>
        </w:tc>
        <w:tc>
          <w:tcPr>
            <w:tcW w:w="2340" w:type="dxa"/>
          </w:tcPr>
          <w:p w14:paraId="044B9D09"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H: 62 años / M: 57 años</w:t>
            </w:r>
          </w:p>
        </w:tc>
        <w:tc>
          <w:tcPr>
            <w:tcW w:w="2340" w:type="dxa"/>
          </w:tcPr>
          <w:p w14:paraId="63D41286"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Mínimo 1.300 semanas cotizadas en cualquier tiempo.</w:t>
            </w:r>
          </w:p>
        </w:tc>
        <w:tc>
          <w:tcPr>
            <w:tcW w:w="2340" w:type="dxa"/>
          </w:tcPr>
          <w:p w14:paraId="59D7779E"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Pensión integral (Componente Prima Media + Ahorro Individual si aplica).</w:t>
            </w:r>
          </w:p>
        </w:tc>
      </w:tr>
      <w:tr w:rsidR="00BE70E2" w14:paraId="57E9DB61" w14:textId="77777777" w:rsidTr="00BE70E2">
        <w:tc>
          <w:tcPr>
            <w:cnfStyle w:val="001000000000" w:firstRow="0" w:lastRow="0" w:firstColumn="1" w:lastColumn="0" w:oddVBand="0" w:evenVBand="0" w:oddHBand="0" w:evenHBand="0" w:firstRowFirstColumn="0" w:firstRowLastColumn="0" w:lastRowFirstColumn="0" w:lastRowLastColumn="0"/>
            <w:tcW w:w="2340" w:type="dxa"/>
          </w:tcPr>
          <w:p w14:paraId="4CEA679C" w14:textId="77777777" w:rsidR="00BE70E2" w:rsidRDefault="00000000">
            <w:pPr>
              <w:spacing w:before="120" w:after="120" w:line="240" w:lineRule="auto"/>
              <w:ind w:firstLine="0"/>
              <w:rPr>
                <w:rFonts w:ascii="Times New Roman" w:eastAsia="Google Sans Text" w:hAnsi="Times New Roman" w:cs="Times New Roman"/>
                <w:b w:val="0"/>
                <w:color w:val="1B1C1D"/>
              </w:rPr>
            </w:pPr>
            <w:r>
              <w:rPr>
                <w:rFonts w:ascii="Times New Roman" w:eastAsia="Google Sans Text" w:hAnsi="Times New Roman" w:cs="Times New Roman"/>
                <w:color w:val="1B1C1D"/>
              </w:rPr>
              <w:t>Renta Básica Solidaria</w:t>
            </w:r>
          </w:p>
        </w:tc>
        <w:tc>
          <w:tcPr>
            <w:tcW w:w="2340" w:type="dxa"/>
          </w:tcPr>
          <w:p w14:paraId="5795BBC3"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H: 65 años / M: 60 años (o H: &gt;55 con 50%+ discapacidad / M: &gt;50 con 50%+ discapacidad)</w:t>
            </w:r>
          </w:p>
        </w:tc>
        <w:tc>
          <w:tcPr>
            <w:tcW w:w="2340" w:type="dxa"/>
          </w:tcPr>
          <w:p w14:paraId="26511DDB"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Pertenecer a grupo de pobreza extrema/vulnerabilidad; &lt;300 semanas cotizadas (o no cotizadas); residencia &gt;10 años; no tener pensión.</w:t>
            </w:r>
          </w:p>
        </w:tc>
        <w:tc>
          <w:tcPr>
            <w:tcW w:w="2340" w:type="dxa"/>
          </w:tcPr>
          <w:p w14:paraId="10F31142"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Renta vitalicia, hasta 80% SMLMV (aprox. $223.000 COP).</w:t>
            </w:r>
          </w:p>
        </w:tc>
      </w:tr>
      <w:tr w:rsidR="00BE70E2" w14:paraId="721FFDD7" w14:textId="77777777" w:rsidTr="00BE70E2">
        <w:tc>
          <w:tcPr>
            <w:cnfStyle w:val="001000000000" w:firstRow="0" w:lastRow="0" w:firstColumn="1" w:lastColumn="0" w:oddVBand="0" w:evenVBand="0" w:oddHBand="0" w:evenHBand="0" w:firstRowFirstColumn="0" w:firstRowLastColumn="0" w:lastRowFirstColumn="0" w:lastRowLastColumn="0"/>
            <w:tcW w:w="2340" w:type="dxa"/>
          </w:tcPr>
          <w:p w14:paraId="4192003D" w14:textId="77777777" w:rsidR="00BE70E2" w:rsidRDefault="00000000">
            <w:pPr>
              <w:spacing w:before="120" w:after="120" w:line="240" w:lineRule="auto"/>
              <w:ind w:firstLine="0"/>
              <w:rPr>
                <w:rFonts w:ascii="Times New Roman" w:eastAsia="Google Sans Text" w:hAnsi="Times New Roman" w:cs="Times New Roman"/>
                <w:b w:val="0"/>
                <w:color w:val="1B1C1D"/>
              </w:rPr>
            </w:pPr>
            <w:r>
              <w:rPr>
                <w:rFonts w:ascii="Times New Roman" w:eastAsia="Google Sans Text" w:hAnsi="Times New Roman" w:cs="Times New Roman"/>
                <w:color w:val="1B1C1D"/>
              </w:rPr>
              <w:t>Renta Vitalicia (Semicontributivo)</w:t>
            </w:r>
          </w:p>
        </w:tc>
        <w:tc>
          <w:tcPr>
            <w:tcW w:w="2340" w:type="dxa"/>
          </w:tcPr>
          <w:p w14:paraId="1920027F"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H: 62 años / M: 57 años</w:t>
            </w:r>
          </w:p>
        </w:tc>
        <w:tc>
          <w:tcPr>
            <w:tcW w:w="2340" w:type="dxa"/>
          </w:tcPr>
          <w:p w14:paraId="7C0C8FE9"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Haber contribuido entre 300 y &lt;1.000 semanas.</w:t>
            </w:r>
          </w:p>
        </w:tc>
        <w:tc>
          <w:tcPr>
            <w:tcW w:w="2340" w:type="dxa"/>
          </w:tcPr>
          <w:p w14:paraId="08F9CC51"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Renta vitalicia (monto &lt;1 SMLMV).</w:t>
            </w:r>
          </w:p>
        </w:tc>
      </w:tr>
      <w:tr w:rsidR="00BE70E2" w14:paraId="05A5A147" w14:textId="77777777" w:rsidTr="00BE70E2">
        <w:tc>
          <w:tcPr>
            <w:cnfStyle w:val="001000000000" w:firstRow="0" w:lastRow="0" w:firstColumn="1" w:lastColumn="0" w:oddVBand="0" w:evenVBand="0" w:oddHBand="0" w:evenHBand="0" w:firstRowFirstColumn="0" w:firstRowLastColumn="0" w:lastRowFirstColumn="0" w:lastRowLastColumn="0"/>
            <w:tcW w:w="2340" w:type="dxa"/>
          </w:tcPr>
          <w:p w14:paraId="505A06B5" w14:textId="77777777" w:rsidR="00BE70E2" w:rsidRDefault="00000000">
            <w:pPr>
              <w:spacing w:before="120" w:after="120" w:line="240" w:lineRule="auto"/>
              <w:ind w:firstLine="0"/>
              <w:rPr>
                <w:rFonts w:ascii="Times New Roman" w:eastAsia="Google Sans Text" w:hAnsi="Times New Roman" w:cs="Times New Roman"/>
                <w:b w:val="0"/>
                <w:color w:val="1B1C1D"/>
              </w:rPr>
            </w:pPr>
            <w:r>
              <w:rPr>
                <w:rFonts w:ascii="Times New Roman" w:eastAsia="Google Sans Text" w:hAnsi="Times New Roman" w:cs="Times New Roman"/>
                <w:color w:val="1B1C1D"/>
              </w:rPr>
              <w:t>Pensión Anticipada de Vejez</w:t>
            </w:r>
          </w:p>
        </w:tc>
        <w:tc>
          <w:tcPr>
            <w:tcW w:w="2340" w:type="dxa"/>
          </w:tcPr>
          <w:p w14:paraId="28C03349"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H: 65 años / M: 62 años</w:t>
            </w:r>
          </w:p>
        </w:tc>
        <w:tc>
          <w:tcPr>
            <w:tcW w:w="2340" w:type="dxa"/>
          </w:tcPr>
          <w:p w14:paraId="707C2FB7"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&gt;1.000 y &lt;1.300 semanas cotizadas; no en régimen de transición.</w:t>
            </w:r>
          </w:p>
        </w:tc>
        <w:tc>
          <w:tcPr>
            <w:tcW w:w="2340" w:type="dxa"/>
          </w:tcPr>
          <w:p w14:paraId="673F6229"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Ingreso mensual proporcional con descuento de cotizaciones faltantes.</w:t>
            </w:r>
          </w:p>
        </w:tc>
      </w:tr>
      <w:tr w:rsidR="00BE70E2" w14:paraId="7D263675" w14:textId="77777777" w:rsidTr="00BE70E2">
        <w:tc>
          <w:tcPr>
            <w:cnfStyle w:val="001000000000" w:firstRow="0" w:lastRow="0" w:firstColumn="1" w:lastColumn="0" w:oddVBand="0" w:evenVBand="0" w:oddHBand="0" w:evenHBand="0" w:firstRowFirstColumn="0" w:firstRowLastColumn="0" w:lastRowFirstColumn="0" w:lastRowLastColumn="0"/>
            <w:tcW w:w="2340" w:type="dxa"/>
          </w:tcPr>
          <w:p w14:paraId="3E28E73A" w14:textId="77777777" w:rsidR="00BE70E2" w:rsidRDefault="00000000">
            <w:pPr>
              <w:spacing w:before="120" w:after="120" w:line="240" w:lineRule="auto"/>
              <w:ind w:firstLine="0"/>
              <w:rPr>
                <w:rFonts w:ascii="Times New Roman" w:eastAsia="Google Sans Text" w:hAnsi="Times New Roman" w:cs="Times New Roman"/>
                <w:b w:val="0"/>
                <w:color w:val="1B1C1D"/>
              </w:rPr>
            </w:pPr>
            <w:r>
              <w:rPr>
                <w:rFonts w:ascii="Times New Roman" w:eastAsia="Google Sans Text" w:hAnsi="Times New Roman" w:cs="Times New Roman"/>
                <w:color w:val="1B1C1D"/>
              </w:rPr>
              <w:t>Pensión Anticipada por Discapacidad</w:t>
            </w:r>
          </w:p>
        </w:tc>
        <w:tc>
          <w:tcPr>
            <w:tcW w:w="2340" w:type="dxa"/>
          </w:tcPr>
          <w:p w14:paraId="423B6C05"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H: 55 años / M: 50 años</w:t>
            </w:r>
          </w:p>
        </w:tc>
        <w:tc>
          <w:tcPr>
            <w:tcW w:w="2340" w:type="dxa"/>
          </w:tcPr>
          <w:p w14:paraId="7CABCE62"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Pérdida de capacidad laboral ≥50%; ≥1.000 semanas cotizadas.</w:t>
            </w:r>
          </w:p>
        </w:tc>
        <w:tc>
          <w:tcPr>
            <w:tcW w:w="2340" w:type="dxa"/>
          </w:tcPr>
          <w:p w14:paraId="66198C3F" w14:textId="77777777" w:rsidR="00BE70E2" w:rsidRDefault="00000000">
            <w:pPr>
              <w:spacing w:before="120" w:after="120" w:line="240" w:lineRule="auto"/>
              <w:ind w:firstLine="0"/>
              <w:cnfStyle w:val="000000000000" w:firstRow="0" w:lastRow="0" w:firstColumn="0" w:lastColumn="0" w:oddVBand="0" w:evenVBand="0" w:oddHBand="0" w:evenHBand="0" w:firstRowFirstColumn="0" w:firstRowLastColumn="0" w:lastRowFirstColumn="0" w:lastRowLastColumn="0"/>
              <w:rPr>
                <w:rFonts w:ascii="Times New Roman" w:eastAsia="Google Sans Text" w:hAnsi="Times New Roman" w:cs="Times New Roman"/>
                <w:color w:val="1B1C1D"/>
              </w:rPr>
            </w:pPr>
            <w:r>
              <w:rPr>
                <w:rFonts w:ascii="Times New Roman" w:eastAsia="Google Sans Text" w:hAnsi="Times New Roman" w:cs="Times New Roman"/>
                <w:color w:val="1B1C1D"/>
              </w:rPr>
              <w:t>Pensión anticipada (monto no especificado).</w:t>
            </w:r>
          </w:p>
        </w:tc>
      </w:tr>
    </w:tbl>
    <w:p w14:paraId="3E042416" w14:textId="77777777" w:rsidR="00BE70E2" w:rsidRDefault="00000000">
      <w:pPr>
        <w:spacing w:after="240"/>
        <w:ind w:firstLine="0"/>
        <w:rPr>
          <w:rFonts w:ascii="Times New Roman" w:eastAsia="Google Sans Text" w:hAnsi="Times New Roman" w:cs="Times New Roman"/>
          <w:color w:val="1B1C1D"/>
        </w:rPr>
      </w:pPr>
      <w:r>
        <w:rPr>
          <w:rFonts w:ascii="Times New Roman" w:eastAsia="Google Sans Text" w:hAnsi="Times New Roman" w:cs="Times New Roman"/>
          <w:i/>
          <w:iCs/>
          <w:color w:val="1B1C1D"/>
        </w:rPr>
        <w:t xml:space="preserve">Nota: </w:t>
      </w:r>
      <w:r>
        <w:rPr>
          <w:rFonts w:ascii="Times New Roman" w:eastAsia="Google Sans Text" w:hAnsi="Times New Roman" w:cs="Times New Roman"/>
          <w:color w:val="1B1C1D"/>
        </w:rPr>
        <w:t>elaboración propia.</w:t>
      </w:r>
    </w:p>
    <w:p w14:paraId="3FE923F4" w14:textId="77777777" w:rsidR="00BE70E2" w:rsidRDefault="00000000">
      <w:pPr>
        <w:spacing w:before="240" w:after="240"/>
        <w:rPr>
          <w:rFonts w:ascii="Times New Roman" w:eastAsia="Google Sans Text" w:hAnsi="Times New Roman" w:cs="Times New Roman"/>
          <w:color w:val="1B1C1D"/>
        </w:rPr>
      </w:pPr>
      <w:r>
        <w:rPr>
          <w:rFonts w:ascii="Times New Roman" w:eastAsia="Google Sans Text" w:hAnsi="Times New Roman" w:cs="Times New Roman"/>
          <w:color w:val="1B1C1D"/>
        </w:rPr>
        <w:t xml:space="preserve">La Ley 2381 de 2024 se encuentra actualmente bajo un riguroso escrutinio de constitucionalidad por parte de la Corte Constitucional, siendo el Expediente D-15989 uno de los casos centrales que determinará su constitucionalidad. </w:t>
      </w:r>
      <w:sdt>
        <w:sdtPr>
          <w:rPr>
            <w:rFonts w:ascii="Times New Roman" w:eastAsia="Google Sans Text" w:hAnsi="Times New Roman" w:cs="Times New Roman"/>
            <w:color w:val="000000"/>
          </w:rPr>
          <w:tag w:val="MENDELEY_CITATION_v3_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"/>
          <w:id w:val="246625536"/>
          <w:placeholder>
            <w:docPart w:val="DefaultPlaceholder_-1854013440"/>
          </w:placeholder>
        </w:sdtPr>
        <w:sdtContent>
          <w:r>
            <w:rPr>
              <w:rFonts w:ascii="Times New Roman" w:eastAsia="Google Sans Text" w:hAnsi="Times New Roman" w:cs="Times New Roman"/>
              <w:color w:val="000000"/>
            </w:rPr>
            <w:t>(Corte Constitucional de Colombia, 2024a)</w:t>
          </w:r>
        </w:sdtContent>
      </w:sdt>
      <w:r>
        <w:rPr>
          <w:rFonts w:ascii="Times New Roman" w:eastAsia="Google Sans Text" w:hAnsi="Times New Roman" w:cs="Times New Roman"/>
          <w:color w:val="1B1C1D"/>
        </w:rPr>
        <w:t xml:space="preserve">. Procuraduría General de la Nación </w:t>
      </w:r>
      <w:sdt>
        <w:sdtPr>
          <w:rPr>
            <w:rFonts w:ascii="Times New Roman" w:eastAsia="Google Sans Text" w:hAnsi="Times New Roman" w:cs="Times New Roman"/>
            <w:color w:val="000000"/>
          </w:rPr>
          <w:tag w:val="MENDELEY_CITATION_v3_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"/>
          <w:id w:val="-1258370199"/>
          <w:placeholder>
            <w:docPart w:val="DefaultPlaceholder_-1854013440"/>
          </w:placeholder>
        </w:sdtPr>
        <w:sdtContent>
          <w:r>
            <w:rPr>
              <w:rFonts w:ascii="Times New Roman" w:eastAsia="Google Sans Text" w:hAnsi="Times New Roman" w:cs="Times New Roman"/>
              <w:color w:val="000000"/>
            </w:rPr>
            <w:t>(2025)</w:t>
          </w:r>
        </w:sdtContent>
      </w:sdt>
      <w:r>
        <w:rPr>
          <w:rFonts w:ascii="Times New Roman" w:eastAsia="Google Sans Text" w:hAnsi="Times New Roman" w:cs="Times New Roman"/>
          <w:color w:val="000000"/>
        </w:rPr>
        <w:t xml:space="preserve"> </w:t>
      </w:r>
      <w:r>
        <w:rPr>
          <w:rFonts w:ascii="Times New Roman" w:eastAsia="Google Sans Text" w:hAnsi="Times New Roman" w:cs="Times New Roman"/>
          <w:color w:val="1B1C1D"/>
        </w:rPr>
        <w:t xml:space="preserve">ha emitido un concepto que, si bien apoya la legalidad del trámite legislativo, ha expresado preocupaciones sobre artículos específicos, como la tributación de las pensiones (Artículo 84.5), haciendo énfasis en la necesidad de seguridad jurídica y la protección de los derechos consolidados, sugiriendo mecanismos como los efectos diferidos de una sentencia para evitar complejidades jurídicas y un aumento de la litigiosidad </w:t>
      </w:r>
      <w:sdt>
        <w:sdtPr>
          <w:rPr>
            <w:rFonts w:ascii="Times New Roman" w:eastAsia="Google Sans Text" w:hAnsi="Times New Roman" w:cs="Times New Roman"/>
            <w:color w:val="000000"/>
          </w:rPr>
          <w:tag w:val="MENDELEY_CITATION_v3_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"/>
          <w:id w:val="213787409"/>
          <w:placeholder>
            <w:docPart w:val="DefaultPlaceholder_-1854013440"/>
          </w:placeholder>
        </w:sdtPr>
        <w:sdtContent>
          <w:r>
            <w:rPr>
              <w:rFonts w:ascii="Times New Roman" w:eastAsia="Google Sans Text" w:hAnsi="Times New Roman" w:cs="Times New Roman"/>
              <w:color w:val="000000"/>
            </w:rPr>
            <w:t>(Moreno, 2025)</w:t>
          </w:r>
        </w:sdtContent>
      </w:sdt>
      <w:r>
        <w:rPr>
          <w:rFonts w:ascii="Times New Roman" w:eastAsia="Google Sans Text" w:hAnsi="Times New Roman" w:cs="Times New Roman"/>
          <w:color w:val="1B1C1D"/>
        </w:rPr>
        <w:t xml:space="preserve">. La revisión judicial dejó de ser un proceso expectante y se convirtió en una </w:t>
      </w:r>
      <w:r>
        <w:rPr>
          <w:rFonts w:ascii="Times New Roman" w:eastAsia="Google Sans Text" w:hAnsi="Times New Roman" w:cs="Times New Roman"/>
          <w:color w:val="1B1C1D"/>
        </w:rPr>
        <w:lastRenderedPageBreak/>
        <w:t>acción concreta que reafirma las tensiones inherentes entre la facultad legislativa y los límites constitucionales. La decisión de la Corte de suspender la ley no solo evidencia un control constitucional activo sobre los vicios de forma, sino que sienta un precedente sobre la rigurosidad con que se deben debatir las reformas que afectan derechos sociales fundamentales.</w:t>
      </w:r>
    </w:p>
    <w:p w14:paraId="6E1517D0" w14:textId="77777777" w:rsidR="00BE70E2" w:rsidRDefault="00000000">
      <w:pPr>
        <w:spacing w:before="240" w:after="240"/>
        <w:rPr>
          <w:rFonts w:ascii="Times New Roman" w:eastAsia="Google Sans Text" w:hAnsi="Times New Roman" w:cs="Times New Roman"/>
          <w:color w:val="1B1C1D"/>
        </w:rPr>
      </w:pPr>
      <w:r>
        <w:rPr>
          <w:rFonts w:ascii="Times New Roman" w:eastAsia="Google Sans Text" w:hAnsi="Times New Roman" w:cs="Times New Roman"/>
          <w:color w:val="1B1C1D"/>
        </w:rPr>
        <w:t>Si bien la decisión inicial se centró en el procedimiento, deja abierta la puerta para el análisis de fondo sobre la posible regresividad de disposiciones sustantivas, como la tributación de las pensiones. Este proceso es, en esencia, un test sobre la capacidad del Estado para equilibrar los principios de solidaridad social con la protección de los derechos individuales y la seguridad jurídica.</w:t>
      </w:r>
    </w:p>
    <w:p w14:paraId="3A3F6E0A" w14:textId="77777777" w:rsidR="00BE70E2" w:rsidRDefault="00000000">
      <w:pPr>
        <w:spacing w:before="240" w:after="240"/>
        <w:rPr>
          <w:rFonts w:ascii="Times New Roman" w:eastAsia="Google Sans Text" w:hAnsi="Times New Roman" w:cs="Times New Roman"/>
          <w:color w:val="1B1C1D"/>
        </w:rPr>
      </w:pPr>
      <w:r>
        <w:rPr>
          <w:rFonts w:ascii="Times New Roman" w:eastAsia="Google Sans Text" w:hAnsi="Times New Roman" w:cs="Times New Roman"/>
          <w:color w:val="1B1C1D"/>
        </w:rPr>
        <w:t>Esta acción de inconstitucionalidad no es un mero obstáculo legal, sino una manifestación del control constitucional que evalúa si el proceso legislativo respetó los principios democráticos de deliberación y si el contenido de la ley se ajusta a los mandatos constitucionales y, la decisión de la Corte sentará un precedente sobre los límites del poder legislativo para reformar derechos sociales y si se declaran inconstitucionales disposiciones sustantivas, como la tributación de pensiones, se reafirmaría la protección de derechos económicos individuales frente a las necesidades fiscales del Estado, lo que podría obligar al gobierno a buscar fuentes alternativas de financiación para la solidaridad. Este proceso es, en esencia, un test de la madurez democrática y la capacidad del Estado para equilibrar los principios de solidaridad social con la protección de los derechos fundamentales individuales.</w:t>
      </w:r>
    </w:p>
    <w:p w14:paraId="2E6D49A1" w14:textId="77777777" w:rsidR="00BE70E2" w:rsidRDefault="00000000">
      <w:pPr>
        <w:pStyle w:val="Ttulo1"/>
        <w:numPr>
          <w:ilvl w:val="0"/>
          <w:numId w:val="11"/>
        </w:numPr>
      </w:pPr>
      <w:r>
        <w:br w:type="column"/>
      </w:r>
      <w:bookmarkStart w:id="42" w:name="_Toc203825869"/>
      <w:r>
        <w:lastRenderedPageBreak/>
        <w:t>Resultados de la investigación</w:t>
      </w:r>
      <w:bookmarkEnd w:id="42"/>
      <w:r>
        <w:t xml:space="preserve"> </w:t>
      </w:r>
    </w:p>
    <w:p w14:paraId="31AE70B8"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t>El apartado de resultados de la investigación presenta un análisis crítico detallado de las implicaciones de la Ley 2381 de 2024 en el sistema pensional colombiano, examinando su impacto en los trabajadores actuales y futuras generaciones, su sostenibilidad financiera, y los retos que enfrenta en relación con los principios constitucionales de solidaridad y protección de derechos adquiridos.</w:t>
      </w:r>
    </w:p>
    <w:p w14:paraId="0C270469"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t xml:space="preserve">La Ley 2381 de 2024, cuya entrada en vigor general se prevé para el 1 de julio de 2025, busca una reestructuración profunda del sistema de protección social para la vejez, invalidez y muerte en Colombia, con el propósito fundamental de ampliar la cobertura y promover una mayor equidad. En cuanto a su impacto en los trabajadores actuales, la reforma redirige la mayoría de los aportes al régimen público, Colpensiones, para aquellos con ingresos de hasta 2.3 salarios mínimos mensuales legales vigentes (SMLMV), lo cual puede generar cierta incertidumbre entre los afiliados a fondos privados, si bien sus ahorros existentes no se verán afectados directamente. </w:t>
      </w:r>
    </w:p>
    <w:p w14:paraId="4FE0E126"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t xml:space="preserve">Un aspecto relevante es el ajuste en los porcentajes de cotización al Fondo de Solidaridad Pensional y la modificación de la exención tributaria para pensiones, lo que implica una mayor carga fiscal para trabajadores y pensionados de mayores ingresos. No obstante, un avance significativo es el reconocimiento de 50 semanas de cotización por cada hijo, hasta un máximo de tres, para las mujeres trabajadoras, lo cual busca acortar la brecha de género en los requisitos de pensión. </w:t>
      </w:r>
    </w:p>
    <w:p w14:paraId="012A40B5"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t xml:space="preserve">En lo que respecta a las futuras generaciones, la ley aspira a que un mayor número de personas accedan a protección en la vejez, reduciendo la pobreza en la tercera edad gracias a la </w:t>
      </w:r>
      <w:r>
        <w:rPr>
          <w:rFonts w:ascii="Times New Roman" w:eastAsia="Google Sans Text" w:hAnsi="Times New Roman" w:cs="Times New Roman"/>
          <w:color w:val="1B1C1D"/>
        </w:rPr>
        <w:lastRenderedPageBreak/>
        <w:t>ampliación de la cobertura y el fortalecimiento del Pilar Solidario. Sin embargo, la sostenibilidad a largo plazo dependerá críticamente de factores demográficos como el envejecimiento poblacional y la baja natalidad, así como de la persistente informalidad laboral. Para facilitar la transición, la ley contempla una "ventana de traslado" para mujeres y hombres que cumplen con ciertos requisitos de edad y semanas cotizadas, permitiéndoles optar por Colpensiones antes de la entrada en vigor general de la reforma. Más de 40.000 personas han hecho uso de esta medida, lo que demuestra su papel estratégico en la consolidación de afiliados al régimen público.</w:t>
      </w:r>
    </w:p>
    <w:p w14:paraId="4D010152"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t xml:space="preserve">La Ley 2381 de 2024 establece un sistema pensional estructurado en cuatro pilares. El Pilar Solidario busca proveer una renta básica a personas en situación de vulnerabilidad que no cumplen los requisitos para una pensión contributiva, aunque el monto es limitado y no es sustituible por muerte ni heredable, generando cuestionamientos sobre su suficiencia para una vida digna y su esquema de financiación. </w:t>
      </w:r>
    </w:p>
    <w:p w14:paraId="3A9C8F04"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t>El Pilar Semicontributivo, destinado a quienes cotizaron entre 300 y menos de 1.000 semanas, ofrece una renta vitalicia inferior al SMLMV, lo que, si bien corrige una deficiencia histórica, sigue siendo un monto escaso para una subsistencia digna. El Pilar Contributivo es el núcleo del sistema, fusionando los regímenes de Prima Media y Ahorro Individual. La obligatoriedad de cotizar hasta 2.3 SMLMV en Colpensiones es una manifestación de solidaridad que centraliza aportes en el régimen público, fortaleciendo la solidaridad, pero a la vez limitando la elección individual y alimentando debates sobre la eficiencia de los fondos públicos frente a los privados. Finalmente, el Pilar de Ahorro Voluntario incentiva el ahorro individual complementario, pero su diseño tiende a beneficiar a individuos de mayores ingresos, lo que podría perpetuar desigualdades.</w:t>
      </w:r>
    </w:p>
    <w:p w14:paraId="232764CC"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lastRenderedPageBreak/>
        <w:t xml:space="preserve">Desde la perspectiva de la sostenibilidad financiera, la investigación subraya que la reforma, a pesar de sus objetivos de cobertura y equidad, genera serias dudas sobre la viabilidad a largo plazo del sistema. Existe la preocupación de que la reforma pueda profundizar el déficit fiscal si no se acompaña de reformas laborales y tributarias estructurales que aseguren una base contributiva sólida. Los desafíos demográficos, como el envejecimiento de la población y la baja natalidad, son cruciales, ya que la proporción de pensionados aumentará mientras el número de trabajadores activos disminuirá, afectando el equilibrio financiero. </w:t>
      </w:r>
    </w:p>
    <w:p w14:paraId="39529F81"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t>La alta informalidad laboral en Colombia es un factor crítico que limita la capacidad de millones de trabajadores para cotizar, ejerciendo una presión fiscal adicional sobre el Estado. La centralización de cotizaciones en Colpensiones busca fortalecer el sistema público, pero podría generar un déficit significativo si los fondos no se gestionan de manera eficiente, y la reducción del rol de los fondos privados podría afectar la rentabilidad del ahorro pensional. Es notorio que la reforma no incluye ajustes paramétricos como el aumento de la edad de jubilación o el endurecimiento de condiciones de acceso, lo que agrava aún más la presión financiera.</w:t>
      </w:r>
    </w:p>
    <w:p w14:paraId="31BDF6F3"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t xml:space="preserve">Finalmente, la reforma pensional enfrenta retos importantes en relación con los principios constitucionales de solidaridad y protección de derechos adquiridos. El principio de solidaridad, arraigado en la Constitución Política, se busca materializar a través del sistema de pilares y el Fondo de Solidaridad Pensional, con el fin de ampliar la cobertura y corregir desigualdades. La obligatoriedad de cotizar hasta 2.3 SMLMV en Colpensiones se considera una manifestación extrema de esta solidaridad. Sin embargo, esta concentración de aportes en el régimen público genera debates sobre la eficiencia en la gestión de los fondos. </w:t>
      </w:r>
    </w:p>
    <w:p w14:paraId="5FB78F02"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lastRenderedPageBreak/>
        <w:t xml:space="preserve">Existe una tensión intrínseca entre la expansión de la cobertura (solidaridad) y la sostenibilidad financiera del sistema, un equilibrio que el Estado debe manejar cuidadosamente para no comprometer las finanzas públicas. En cuanto a la protección de derechos adquiridos, la Ley 2381 introduce la "pensión anticipada de vejez", un mecanismo para aquellos que, sin cumplir la totalidad de las semanas requeridas, hayan cotizado entre 1.000 y 1.299 semanas y cumplan la edad. Si bien esta medida puede verse como progresiva al proteger expectativas legítimas de pensión, no constituye un derecho adquirido pleno, ya que implica una deducción por las semanas faltantes. </w:t>
      </w:r>
    </w:p>
    <w:p w14:paraId="1FF62B8D" w14:textId="77777777" w:rsidR="00BE70E2" w:rsidRDefault="00BE70E2">
      <w:pPr>
        <w:spacing w:after="240"/>
        <w:rPr>
          <w:rFonts w:ascii="Times New Roman" w:eastAsia="Google Sans Text" w:hAnsi="Times New Roman" w:cs="Times New Roman"/>
          <w:color w:val="1B1C1D"/>
        </w:rPr>
      </w:pPr>
    </w:p>
    <w:p w14:paraId="41F1824F" w14:textId="77777777" w:rsidR="00BE70E2" w:rsidRDefault="00BE70E2">
      <w:pPr>
        <w:spacing w:after="240"/>
        <w:rPr>
          <w:rFonts w:ascii="Times New Roman" w:eastAsia="Google Sans Text" w:hAnsi="Times New Roman" w:cs="Times New Roman"/>
          <w:color w:val="1B1C1D"/>
        </w:rPr>
      </w:pPr>
    </w:p>
    <w:p w14:paraId="6920F27A" w14:textId="77777777" w:rsidR="00BE70E2" w:rsidRDefault="00BE70E2">
      <w:pPr>
        <w:spacing w:after="240"/>
        <w:rPr>
          <w:rFonts w:ascii="Times New Roman" w:eastAsia="Google Sans Text" w:hAnsi="Times New Roman" w:cs="Times New Roman"/>
          <w:color w:val="1B1C1D"/>
        </w:rPr>
      </w:pPr>
    </w:p>
    <w:p w14:paraId="30033419" w14:textId="77777777" w:rsidR="00BE70E2" w:rsidRDefault="00BE70E2"/>
    <w:p w14:paraId="05F26DA4" w14:textId="77777777" w:rsidR="00BE70E2" w:rsidRDefault="00000000">
      <w:pPr>
        <w:pStyle w:val="Ttulo1"/>
      </w:pPr>
      <w:r>
        <w:br w:type="column"/>
      </w:r>
      <w:bookmarkStart w:id="43" w:name="_Toc203825870"/>
      <w:r>
        <w:lastRenderedPageBreak/>
        <w:t>9. Conclusiones</w:t>
      </w:r>
      <w:bookmarkEnd w:id="43"/>
    </w:p>
    <w:p w14:paraId="4064D5CA" w14:textId="77777777" w:rsidR="00BE70E2" w:rsidRDefault="00000000">
      <w:pPr>
        <w:spacing w:after="240"/>
        <w:jc w:val="both"/>
        <w:rPr>
          <w:rFonts w:ascii="Times New Roman" w:eastAsia="Google Sans Text" w:hAnsi="Times New Roman" w:cs="Times New Roman"/>
          <w:color w:val="1B1C1D"/>
        </w:rPr>
      </w:pPr>
      <w:r>
        <w:rPr>
          <w:rFonts w:ascii="Times New Roman" w:eastAsia="Google Sans Text" w:hAnsi="Times New Roman" w:cs="Times New Roman"/>
          <w:color w:val="1B1C1D"/>
        </w:rPr>
        <w:t>La Ley 2381 de 2024 representa una reforma estructural profunda del sistema pensional colombiano, diseñada para fortalecer el principio de solidaridad a través de un modelo de pilares. Este modelo, con su Pilar Solidario y el incremento de las cotizaciones al Fondo de Solidaridad Pensional, busca ampliar la cobertura y corregir desigualdades, especialmente para las mujeres, en línea con el mandato constitucional de la seguridad social como servicio público basado en la solidaridad y la universalidad.</w:t>
      </w:r>
    </w:p>
    <w:p w14:paraId="776A7C79" w14:textId="77777777" w:rsidR="00BE70E2" w:rsidRDefault="00000000">
      <w:pPr>
        <w:spacing w:after="240"/>
        <w:jc w:val="both"/>
        <w:rPr>
          <w:rFonts w:ascii="Times New Roman" w:eastAsia="Google Sans Text" w:hAnsi="Times New Roman" w:cs="Times New Roman"/>
          <w:color w:val="1B1C1D"/>
        </w:rPr>
      </w:pPr>
      <w:r>
        <w:rPr>
          <w:rFonts w:ascii="Times New Roman" w:eastAsia="Google Sans Text" w:hAnsi="Times New Roman" w:cs="Times New Roman"/>
          <w:color w:val="1B1C1D"/>
        </w:rPr>
        <w:t xml:space="preserve">La Ley 2381 de 2024 se estructura con la intención de salvaguardar los derechos adquiridos y las expectativas legítimas de los afiliados. Para ello, implementa mecanismos como el régimen de transición y la figura de la "pensión anticipada". Con estas herramientas, la reforma </w:t>
      </w:r>
      <w:r>
        <w:rPr>
          <w:rFonts w:ascii="Times New Roman" w:eastAsia="Google Sans Text" w:hAnsi="Times New Roman" w:cs="Times New Roman"/>
          <w:color w:val="1B1C1D"/>
          <w:lang w:val="es-ES"/>
        </w:rPr>
        <w:t xml:space="preserve">      </w:t>
      </w:r>
      <w:r>
        <w:rPr>
          <w:rFonts w:ascii="Times New Roman" w:eastAsia="Google Sans Text" w:hAnsi="Times New Roman" w:cs="Times New Roman"/>
          <w:color w:val="1B1C1D"/>
        </w:rPr>
        <w:t>aspira a encontrar un equilibrio entre la necesidad de protección social y la sostenibilidad financiera del sistema.</w:t>
      </w:r>
    </w:p>
    <w:p w14:paraId="4B3622D8" w14:textId="77777777" w:rsidR="00BE70E2" w:rsidRDefault="00000000">
      <w:pPr>
        <w:spacing w:after="240"/>
        <w:jc w:val="both"/>
        <w:rPr>
          <w:rFonts w:ascii="Times New Roman" w:eastAsia="Google Sans Text" w:hAnsi="Times New Roman" w:cs="Times New Roman"/>
          <w:color w:val="1B1C1D"/>
        </w:rPr>
      </w:pPr>
      <w:r>
        <w:rPr>
          <w:rFonts w:ascii="Times New Roman" w:eastAsia="Google Sans Text" w:hAnsi="Times New Roman" w:cs="Times New Roman"/>
          <w:color w:val="1B1C1D"/>
        </w:rPr>
        <w:t>Sin embargo, los hallazgos de esta investigación demuestran que dicho equilibrio es frágil y, en gran medida, teórico. La sostenibilidad fiscal de la reforma presenta desafíos significativos, a pesar de su intención de fortalecer el sistema. La centralización de la mayoría de las cotizaciones en Colpensiones, si bien mejora la liquidez del Estado, genera una profunda preocupación sobre el uso de estos fondos...</w:t>
      </w:r>
    </w:p>
    <w:p w14:paraId="76E3A017"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t xml:space="preserve">La sostenibilidad fiscal de la reforma pensional Ley 2381 de 2024 presenta desafíos significativos, a pesar de su intención de fortalecer el sistema, por la centralización de la mayoría de las cotizaciones en Colpensiones, si bien mejora la liquidez del Estado, genera preocupación sobre el uso de estos fondos, ya que su destino a gasto corriente en lugar de ahorro productivo podría acentuar riesgos macroeconómicos. </w:t>
      </w:r>
    </w:p>
    <w:p w14:paraId="15819A94"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lastRenderedPageBreak/>
        <w:t>La financiación del Pilar Solidario, aunque necesaria para la equidad, impone una carga fiscal considerable al Presupuesto General de la Nación. Además, la reducción del rol de los fondos privados podría mermar la eficiencia y la rentabilidad a largo plazo del ahorro pensional, lo que podría elevar el déficit pensional proyectado y que la ausencia de ajustes paramétricos, como el aumento de la edad de jubilación o el endurecimiento de las condiciones de acceso a la pensión mínima, agrava la presión financiera. La informalidad laboral persistente en Colombia es un factor crítico que limita la base contributiva y, si no se aborda eficazmente, comprometerá la viabilidad del sistema, haciendo insostenibles programas de subsidios universales y la promesa de seguridad pensional para las futuras generaciones.</w:t>
      </w:r>
    </w:p>
    <w:p w14:paraId="2813DBEF" w14:textId="77777777" w:rsidR="00BE70E2" w:rsidRDefault="00000000">
      <w:pPr>
        <w:spacing w:after="240"/>
        <w:rPr>
          <w:rFonts w:ascii="Times New Roman" w:eastAsia="Google Sans Text" w:hAnsi="Times New Roman" w:cs="Times New Roman"/>
          <w:color w:val="1B1C1D"/>
        </w:rPr>
      </w:pPr>
      <w:r>
        <w:rPr>
          <w:rFonts w:ascii="Times New Roman" w:eastAsia="Google Sans Text" w:hAnsi="Times New Roman" w:cs="Times New Roman"/>
          <w:color w:val="1B1C1D"/>
        </w:rPr>
        <w:t>La obligatoriedad de dirigir las cotizaciones hasta 2.3 SMLMV a Colpensiones altera fundamentalmente la dinámica entre la gestión pensional pública y privada, planteando interrogantes sobre la competencia del mercado, la elección individual y la sostenibilidad financiera del sistema. La concentración de capital en el sistema público, si bien busca fortalecer la capacidad de inversión del Estado, también genera debates sobre la diversificación del riesgo y la eficiencia en la gestión de estos vastos recursos.</w:t>
      </w:r>
    </w:p>
    <w:p w14:paraId="1CE93432" w14:textId="77777777" w:rsidR="00BE70E2" w:rsidRDefault="00BE70E2">
      <w:pPr>
        <w:pStyle w:val="Ttulo1"/>
        <w:jc w:val="left"/>
      </w:pPr>
    </w:p>
    <w:p w14:paraId="398429DF" w14:textId="77777777" w:rsidR="00BE70E2" w:rsidRDefault="00BE70E2">
      <w:pPr>
        <w:pStyle w:val="Ttulo1"/>
        <w:jc w:val="left"/>
        <w:rPr>
          <w:rFonts w:asciiTheme="minorHAnsi" w:eastAsiaTheme="minorEastAsia" w:hAnsiTheme="minorHAnsi" w:cstheme="minorBidi"/>
          <w:b w:val="0"/>
          <w:bCs w:val="0"/>
        </w:rPr>
      </w:pPr>
    </w:p>
    <w:p w14:paraId="1E472356" w14:textId="77777777" w:rsidR="00BE70E2" w:rsidRDefault="00BE70E2"/>
    <w:p w14:paraId="2A234D1F" w14:textId="77777777" w:rsidR="00BE70E2" w:rsidRDefault="00BE70E2"/>
    <w:p w14:paraId="27525E8D" w14:textId="77777777" w:rsidR="00BE70E2" w:rsidRDefault="00BE70E2"/>
    <w:p w14:paraId="1E021B38" w14:textId="77777777" w:rsidR="00BE70E2" w:rsidRDefault="00BE70E2"/>
    <w:p w14:paraId="51DAFE92" w14:textId="77777777" w:rsidR="00BE70E2" w:rsidRDefault="00BE70E2"/>
    <w:bookmarkStart w:id="44" w:name="_Toc203825871" w:displacedByCustomXml="next"/>
    <w:sdt>
      <w:sdtPr>
        <w:rPr>
          <w:rFonts w:asciiTheme="minorHAnsi" w:eastAsiaTheme="minorEastAsia" w:hAnsiTheme="minorHAnsi" w:cstheme="minorBidi"/>
          <w:b w:val="0"/>
          <w:bCs w:val="0"/>
        </w:rPr>
        <w:id w:val="62297111"/>
      </w:sdtPr>
      <w:sdtEndPr>
        <w:rPr>
          <w:rFonts w:asciiTheme="majorHAnsi" w:eastAsiaTheme="majorEastAsia" w:hAnsiTheme="majorHAnsi" w:cstheme="majorBidi"/>
          <w:b/>
          <w:bCs/>
        </w:rPr>
      </w:sdtEndPr>
      <w:sdtContent>
        <w:p w14:paraId="59650EF7" w14:textId="77777777" w:rsidR="00BE70E2" w:rsidRDefault="00000000">
          <w:pPr>
            <w:pStyle w:val="Ttulo1"/>
            <w:numPr>
              <w:ilvl w:val="0"/>
              <w:numId w:val="12"/>
            </w:numPr>
          </w:pPr>
          <w:r>
            <w:t xml:space="preserve"> Referencias</w:t>
          </w:r>
        </w:p>
      </w:sdtContent>
    </w:sdt>
    <w:bookmarkEnd w:id="44" w:displacedByCustomXml="next"/>
    <w:sdt>
      <w:sdtPr>
        <w:rPr>
          <w:color w:val="000000"/>
        </w:rPr>
        <w:tag w:val="MENDELEY_BIBLIOGRAPHY"/>
        <w:id w:val="169377962"/>
        <w:placeholder>
          <w:docPart w:val="DefaultPlaceholder_-1854013440"/>
        </w:placeholder>
      </w:sdtPr>
      <w:sdtContent>
        <w:p w14:paraId="14FBF11A" w14:textId="77777777" w:rsidR="00BE70E2" w:rsidRDefault="00000000">
          <w:pPr>
            <w:autoSpaceDE w:val="0"/>
            <w:autoSpaceDN w:val="0"/>
            <w:ind w:hanging="480"/>
            <w:rPr>
              <w:rFonts w:eastAsia="Times New Roman"/>
              <w:kern w:val="0"/>
            </w:rPr>
          </w:pPr>
          <w:r>
            <w:rPr>
              <w:rFonts w:eastAsia="Times New Roman"/>
            </w:rPr>
            <w:t xml:space="preserve">Actualícese. (2024). Capítulo 4: Nuevo Sistema de Pensiones de la Ley 2381 de 2024. . En </w:t>
          </w:r>
          <w:r>
            <w:rPr>
              <w:rFonts w:eastAsia="Times New Roman"/>
              <w:i/>
              <w:iCs/>
            </w:rPr>
            <w:t xml:space="preserve">Sistema de Protección para la Vejez, Invalidez y Muerte de Origen Común - Ley 2381 de 2024. </w:t>
          </w:r>
          <w:r>
            <w:rPr>
              <w:rFonts w:eastAsia="Times New Roman"/>
            </w:rPr>
            <w:t>. https://actualicese.com/rutas/books/sistema-de-proteccion-para-la-vejez-invalidez-y-muerte-de-origen-comun-ley-2381-de-2024/page/capitulo-4-nuevo-sistema-de-pensiones-de-la-ley-2381-de-2024</w:t>
          </w:r>
        </w:p>
        <w:p w14:paraId="205D1DFB" w14:textId="77777777" w:rsidR="00BE70E2" w:rsidRDefault="00000000">
          <w:pPr>
            <w:autoSpaceDE w:val="0"/>
            <w:autoSpaceDN w:val="0"/>
            <w:ind w:hanging="480"/>
            <w:rPr>
              <w:rFonts w:eastAsia="Times New Roman"/>
            </w:rPr>
          </w:pPr>
          <w:r>
            <w:rPr>
              <w:rFonts w:eastAsia="Times New Roman"/>
            </w:rPr>
            <w:t xml:space="preserve">Acuña, J., &amp; Suarez, S. (2018). Estudio comparativo del sistema pensional Chile – Colombia. Modelos pensionales, tipos de pensión y desafíos. </w:t>
          </w:r>
          <w:r>
            <w:rPr>
              <w:rFonts w:eastAsia="Times New Roman"/>
              <w:i/>
              <w:iCs/>
            </w:rPr>
            <w:t>Punto de Vista</w:t>
          </w:r>
          <w:r>
            <w:rPr>
              <w:rFonts w:eastAsia="Times New Roman"/>
            </w:rPr>
            <w:t xml:space="preserve">, </w:t>
          </w:r>
          <w:r>
            <w:rPr>
              <w:rFonts w:eastAsia="Times New Roman"/>
              <w:i/>
              <w:iCs/>
            </w:rPr>
            <w:t>9</w:t>
          </w:r>
          <w:r>
            <w:rPr>
              <w:rFonts w:eastAsia="Times New Roman"/>
            </w:rPr>
            <w:t>(1). https://dialnet.unirioja.es/servlet/articulo?codigo=9020403</w:t>
          </w:r>
        </w:p>
        <w:p w14:paraId="2F53EE1E" w14:textId="77777777" w:rsidR="00BE70E2" w:rsidRDefault="00000000">
          <w:pPr>
            <w:autoSpaceDE w:val="0"/>
            <w:autoSpaceDN w:val="0"/>
            <w:ind w:hanging="480"/>
            <w:rPr>
              <w:rFonts w:eastAsia="Times New Roman"/>
              <w:lang w:val="en-US"/>
            </w:rPr>
          </w:pPr>
          <w:r>
            <w:rPr>
              <w:rFonts w:eastAsia="Times New Roman"/>
              <w:lang w:val="sv-SE"/>
            </w:rPr>
            <w:t xml:space="preserve">Altamirano, Á., Berstein, S., Bosch, M., García, M., &amp; Oliveri, M. L. (2018). </w:t>
          </w:r>
          <w:r>
            <w:rPr>
              <w:rFonts w:eastAsia="Times New Roman"/>
              <w:i/>
              <w:iCs/>
            </w:rPr>
            <w:t>Presente y futuro de las pensiones en América Latina y el Caribe</w:t>
          </w:r>
          <w:r>
            <w:rPr>
              <w:rFonts w:eastAsia="Times New Roman"/>
            </w:rPr>
            <w:t xml:space="preserve">. </w:t>
          </w:r>
          <w:r>
            <w:rPr>
              <w:rFonts w:eastAsia="Times New Roman"/>
              <w:lang w:val="en-US"/>
            </w:rPr>
            <w:t>Inter-American Development Bank. https://doi.org/10.18235/0001307</w:t>
          </w:r>
        </w:p>
        <w:p w14:paraId="41E2B6C3" w14:textId="77777777" w:rsidR="00BE70E2" w:rsidRDefault="00000000">
          <w:pPr>
            <w:autoSpaceDE w:val="0"/>
            <w:autoSpaceDN w:val="0"/>
            <w:ind w:hanging="480"/>
            <w:rPr>
              <w:rFonts w:eastAsia="Times New Roman"/>
            </w:rPr>
          </w:pPr>
          <w:r>
            <w:rPr>
              <w:rFonts w:eastAsia="Times New Roman"/>
              <w:lang w:val="en-US"/>
            </w:rPr>
            <w:t xml:space="preserve">Arias, F., &amp; Parra, J. (2021). </w:t>
          </w:r>
          <w:r>
            <w:rPr>
              <w:rFonts w:eastAsia="Times New Roman"/>
              <w:i/>
              <w:iCs/>
            </w:rPr>
            <w:t>Pensiones y reforma pensional: efectos macroeconómicos del envejecimiento en Colombia</w:t>
          </w:r>
          <w:r>
            <w:rPr>
              <w:rFonts w:eastAsia="Times New Roman"/>
            </w:rPr>
            <w:t>. https://doi.org/10.32468/be.1173</w:t>
          </w:r>
        </w:p>
        <w:p w14:paraId="318A23B8" w14:textId="77777777" w:rsidR="00BE70E2" w:rsidRDefault="00000000">
          <w:pPr>
            <w:autoSpaceDE w:val="0"/>
            <w:autoSpaceDN w:val="0"/>
            <w:ind w:hanging="480"/>
            <w:rPr>
              <w:rFonts w:eastAsia="Times New Roman"/>
            </w:rPr>
          </w:pPr>
          <w:r>
            <w:rPr>
              <w:rFonts w:eastAsia="Times New Roman"/>
            </w:rPr>
            <w:t xml:space="preserve">Banco Mundial. (2013). </w:t>
          </w:r>
          <w:r>
            <w:rPr>
              <w:rFonts w:eastAsia="Times New Roman"/>
              <w:i/>
              <w:iCs/>
            </w:rPr>
            <w:t>Más allá de las pensiones contributivas: Catorce experiencias en América Latina.</w:t>
          </w:r>
          <w:r>
            <w:rPr>
              <w:rFonts w:eastAsia="Times New Roman"/>
            </w:rPr>
            <w:t xml:space="preserve"> (R. Rofman, E. Vezza, &amp; I. Apella, Eds.). https://documents1.worldbank.org/curated/fr/624841468047055585/pdf/827240WP0P12960siones0contributivas.pdf</w:t>
          </w:r>
        </w:p>
        <w:p w14:paraId="1B890B42" w14:textId="77777777" w:rsidR="00BE70E2" w:rsidRDefault="00000000">
          <w:pPr>
            <w:autoSpaceDE w:val="0"/>
            <w:autoSpaceDN w:val="0"/>
            <w:ind w:hanging="480"/>
            <w:rPr>
              <w:rFonts w:eastAsia="Times New Roman"/>
            </w:rPr>
          </w:pPr>
          <w:r>
            <w:rPr>
              <w:rFonts w:eastAsia="Times New Roman"/>
            </w:rPr>
            <w:t xml:space="preserve">Bobbio, N. (1993). Estado, gobierno y sociedad: Por una teoría general de la política. En </w:t>
          </w:r>
          <w:r>
            <w:rPr>
              <w:rFonts w:eastAsia="Times New Roman"/>
              <w:i/>
              <w:iCs/>
            </w:rPr>
            <w:t>Estado Social de Derecho</w:t>
          </w:r>
          <w:r>
            <w:rPr>
              <w:rFonts w:eastAsia="Times New Roman"/>
            </w:rPr>
            <w:t xml:space="preserve">. Fondo de Cultura Económica. </w:t>
          </w:r>
          <w:r>
            <w:rPr>
              <w:rFonts w:eastAsia="Times New Roman"/>
            </w:rPr>
            <w:lastRenderedPageBreak/>
            <w:t>http://postulacion.flacso.edu.mx/formatos/MCS/Examen/bibliografia/bobbio_estado_gobierno_y_sociedad_cap3.pdf</w:t>
          </w:r>
        </w:p>
        <w:p w14:paraId="7381AC67" w14:textId="77777777" w:rsidR="00BE70E2" w:rsidRDefault="00000000">
          <w:pPr>
            <w:autoSpaceDE w:val="0"/>
            <w:autoSpaceDN w:val="0"/>
            <w:ind w:hanging="480"/>
            <w:rPr>
              <w:rFonts w:eastAsia="Times New Roman"/>
            </w:rPr>
          </w:pPr>
          <w:r>
            <w:rPr>
              <w:rFonts w:eastAsia="Times New Roman"/>
              <w:lang w:val="en-US"/>
            </w:rPr>
            <w:t xml:space="preserve">Bowen, G. A. (2009). Document Analysis as a Qualitative Research Method. </w:t>
          </w:r>
          <w:r>
            <w:rPr>
              <w:rFonts w:eastAsia="Times New Roman"/>
              <w:i/>
              <w:iCs/>
            </w:rPr>
            <w:t>Qualitative Research Journal</w:t>
          </w:r>
          <w:r>
            <w:rPr>
              <w:rFonts w:eastAsia="Times New Roman"/>
            </w:rPr>
            <w:t xml:space="preserve">, </w:t>
          </w:r>
          <w:r>
            <w:rPr>
              <w:rFonts w:eastAsia="Times New Roman"/>
              <w:i/>
              <w:iCs/>
            </w:rPr>
            <w:t>9</w:t>
          </w:r>
          <w:r>
            <w:rPr>
              <w:rFonts w:eastAsia="Times New Roman"/>
            </w:rPr>
            <w:t>(2), 27–40. https://doi.org/10.3316/QRJ0902027</w:t>
          </w:r>
        </w:p>
        <w:p w14:paraId="50BFEBEB" w14:textId="77777777" w:rsidR="00BE70E2" w:rsidRDefault="00000000">
          <w:pPr>
            <w:autoSpaceDE w:val="0"/>
            <w:autoSpaceDN w:val="0"/>
            <w:ind w:hanging="480"/>
            <w:rPr>
              <w:rFonts w:eastAsia="Times New Roman"/>
            </w:rPr>
          </w:pPr>
          <w:r>
            <w:rPr>
              <w:rFonts w:eastAsia="Times New Roman"/>
            </w:rPr>
            <w:t xml:space="preserve">Carrillo, I. (2000). Derecho de la seguridad social. En </w:t>
          </w:r>
          <w:r>
            <w:rPr>
              <w:rFonts w:eastAsia="Times New Roman"/>
              <w:i/>
              <w:iCs/>
            </w:rPr>
            <w:t>Seguridad social como derecho fundamental</w:t>
          </w:r>
          <w:r>
            <w:rPr>
              <w:rFonts w:eastAsia="Times New Roman"/>
            </w:rPr>
            <w:t>. Porrúa. https://archivos.juridicas.unam.mx/www/bjv/libros/1/315/3.pdf</w:t>
          </w:r>
        </w:p>
        <w:p w14:paraId="6DCA83FD" w14:textId="77777777" w:rsidR="00BE70E2" w:rsidRDefault="00000000">
          <w:pPr>
            <w:autoSpaceDE w:val="0"/>
            <w:autoSpaceDN w:val="0"/>
            <w:ind w:hanging="480"/>
            <w:rPr>
              <w:rFonts w:eastAsia="Times New Roman"/>
            </w:rPr>
          </w:pPr>
          <w:r>
            <w:rPr>
              <w:rFonts w:eastAsia="Times New Roman"/>
            </w:rPr>
            <w:t xml:space="preserve">Clavijo, S. (2003). Monto del “impuesto puro” en la seguridad social colombiana. </w:t>
          </w:r>
          <w:r>
            <w:rPr>
              <w:rFonts w:eastAsia="Times New Roman"/>
              <w:i/>
              <w:iCs/>
            </w:rPr>
            <w:t>Revista del Banco de la República</w:t>
          </w:r>
          <w:r>
            <w:rPr>
              <w:rFonts w:eastAsia="Times New Roman"/>
            </w:rPr>
            <w:t xml:space="preserve">, </w:t>
          </w:r>
          <w:r>
            <w:rPr>
              <w:rFonts w:eastAsia="Times New Roman"/>
              <w:i/>
              <w:iCs/>
            </w:rPr>
            <w:t>76</w:t>
          </w:r>
          <w:r>
            <w:rPr>
              <w:rFonts w:eastAsia="Times New Roman"/>
            </w:rPr>
            <w:t>(903). https://publicaciones.banrepcultural.org/index.php/banrep/article/view/10276</w:t>
          </w:r>
        </w:p>
        <w:p w14:paraId="0D367727" w14:textId="77777777" w:rsidR="00BE70E2" w:rsidRDefault="00000000">
          <w:pPr>
            <w:autoSpaceDE w:val="0"/>
            <w:autoSpaceDN w:val="0"/>
            <w:ind w:hanging="480"/>
            <w:rPr>
              <w:rFonts w:eastAsia="Times New Roman"/>
            </w:rPr>
          </w:pPr>
          <w:r>
            <w:rPr>
              <w:rFonts w:eastAsia="Times New Roman"/>
            </w:rPr>
            <w:t xml:space="preserve">Clavijo, S. (2023). Reforma pensional e informalidad laboral en Colombia (Pension Reform and Labor Informality in Colombia). </w:t>
          </w:r>
          <w:r>
            <w:rPr>
              <w:rFonts w:eastAsia="Times New Roman"/>
              <w:i/>
              <w:iCs/>
            </w:rPr>
            <w:t>SSRN Electronic Journal</w:t>
          </w:r>
          <w:r>
            <w:rPr>
              <w:rFonts w:eastAsia="Times New Roman"/>
            </w:rPr>
            <w:t>. https://doi.org/10.2139/ssrn.4417283</w:t>
          </w:r>
        </w:p>
        <w:p w14:paraId="7D85B88E" w14:textId="77777777" w:rsidR="00BE70E2" w:rsidRDefault="00000000">
          <w:pPr>
            <w:autoSpaceDE w:val="0"/>
            <w:autoSpaceDN w:val="0"/>
            <w:ind w:hanging="480"/>
            <w:rPr>
              <w:rFonts w:eastAsia="Times New Roman"/>
            </w:rPr>
          </w:pPr>
          <w:r>
            <w:rPr>
              <w:rFonts w:eastAsia="Times New Roman"/>
            </w:rPr>
            <w:t xml:space="preserve">Colfondos. (2025). </w:t>
          </w:r>
          <w:r>
            <w:rPr>
              <w:rFonts w:eastAsia="Times New Roman"/>
              <w:i/>
              <w:iCs/>
            </w:rPr>
            <w:t>Todo lo que debes saber de la Ley Pensional 2381</w:t>
          </w:r>
          <w:r>
            <w:rPr>
              <w:rFonts w:eastAsia="Times New Roman"/>
            </w:rPr>
            <w:t>. https://www.colfondos.com.co/dxp/personas/pensiones-obligatorias/ley-2381</w:t>
          </w:r>
        </w:p>
        <w:p w14:paraId="0E0611EE" w14:textId="77777777" w:rsidR="00BE70E2" w:rsidRDefault="00000000">
          <w:pPr>
            <w:autoSpaceDE w:val="0"/>
            <w:autoSpaceDN w:val="0"/>
            <w:ind w:hanging="480"/>
            <w:rPr>
              <w:rFonts w:eastAsia="Times New Roman"/>
            </w:rPr>
          </w:pPr>
          <w:r>
            <w:rPr>
              <w:rFonts w:eastAsia="Times New Roman"/>
            </w:rPr>
            <w:t xml:space="preserve">Colpensiones. (2024, julio 16). </w:t>
          </w:r>
          <w:r>
            <w:rPr>
              <w:rFonts w:eastAsia="Times New Roman"/>
              <w:i/>
              <w:iCs/>
            </w:rPr>
            <w:t xml:space="preserve">La reforma pensional es hoy ley de la República: Colombia asegura una vejez digna para todos y todas.  </w:t>
          </w:r>
          <w:r>
            <w:rPr>
              <w:rFonts w:eastAsia="Times New Roman"/>
            </w:rPr>
            <w:t>. https://www.colpensiones.gov.co/publicaciones/5045/la-reforma-pensional-es-hoy-ley-de-la-republica-colombia-asegura-una-vejez-digna-para-todos-y-todas/</w:t>
          </w:r>
        </w:p>
        <w:p w14:paraId="19EA9222" w14:textId="77777777" w:rsidR="00BE70E2" w:rsidRDefault="00000000">
          <w:pPr>
            <w:autoSpaceDE w:val="0"/>
            <w:autoSpaceDN w:val="0"/>
            <w:ind w:hanging="480"/>
            <w:rPr>
              <w:rFonts w:eastAsia="Times New Roman"/>
            </w:rPr>
          </w:pPr>
          <w:r>
            <w:rPr>
              <w:rFonts w:eastAsia="Times New Roman"/>
            </w:rPr>
            <w:t xml:space="preserve">Congreso de la República de Colombia. (2024). </w:t>
          </w:r>
          <w:r>
            <w:rPr>
              <w:rFonts w:eastAsia="Times New Roman"/>
              <w:i/>
              <w:iCs/>
            </w:rPr>
            <w:t>Ley 2381, Por medio de la cual se establece el sistema de protección social integral para la vejez, invalidez y muerte de origen común, y se dictan otras disposiciones</w:t>
          </w:r>
          <w:r>
            <w:rPr>
              <w:rFonts w:eastAsia="Times New Roman"/>
            </w:rPr>
            <w:t>. Diario Oficial No. 51.234. 16 de julio de 2024. https://www.funcionpublica.gov.co/eva/gestornormativo/norma.php?i=246356</w:t>
          </w:r>
        </w:p>
        <w:p w14:paraId="56F4DE71" w14:textId="77777777" w:rsidR="00BE70E2" w:rsidRDefault="00000000">
          <w:pPr>
            <w:autoSpaceDE w:val="0"/>
            <w:autoSpaceDN w:val="0"/>
            <w:ind w:hanging="480"/>
            <w:rPr>
              <w:rFonts w:eastAsia="Times New Roman"/>
            </w:rPr>
          </w:pPr>
          <w:r>
            <w:rPr>
              <w:rFonts w:eastAsia="Times New Roman"/>
            </w:rPr>
            <w:lastRenderedPageBreak/>
            <w:t xml:space="preserve">Consejo de Estado. Sala de consulta y servicio civil. (2012). Opinión consultiva 11001-03-06-000-2011-00087-00(2082). </w:t>
          </w:r>
          <w:r>
            <w:rPr>
              <w:rFonts w:eastAsia="Times New Roman"/>
              <w:i/>
              <w:iCs/>
            </w:rPr>
            <w:t>[C.P. Luis Alvarez Jaramillo]</w:t>
          </w:r>
          <w:r>
            <w:rPr>
              <w:rFonts w:eastAsia="Times New Roman"/>
            </w:rPr>
            <w:t>. https://www.consejodeestado.gov.co/documentos/biblioteca/libros/2022/providencias%20otros/19_11001-03-06-000-2011-00087-00(2082).pdf</w:t>
          </w:r>
        </w:p>
        <w:p w14:paraId="0B0688D2" w14:textId="77777777" w:rsidR="00BE70E2" w:rsidRDefault="00000000">
          <w:pPr>
            <w:autoSpaceDE w:val="0"/>
            <w:autoSpaceDN w:val="0"/>
            <w:ind w:hanging="480"/>
            <w:rPr>
              <w:rFonts w:eastAsia="Times New Roman"/>
            </w:rPr>
          </w:pPr>
          <w:r>
            <w:rPr>
              <w:rFonts w:eastAsia="Times New Roman"/>
            </w:rPr>
            <w:t xml:space="preserve">Consejo de Estado. Sala de lo Contencioso administrativo. (2014). Sentencia radicada 25000-23-42-000-2014-03486-01. </w:t>
          </w:r>
          <w:r>
            <w:rPr>
              <w:rFonts w:eastAsia="Times New Roman"/>
              <w:i/>
              <w:iCs/>
            </w:rPr>
            <w:t>[C.P. Susana Buitrago Valencia</w:t>
          </w:r>
          <w:r>
            <w:rPr>
              <w:rFonts w:eastAsia="Times New Roman"/>
            </w:rPr>
            <w:t>.</w:t>
          </w:r>
        </w:p>
        <w:p w14:paraId="14BB85C2" w14:textId="77777777" w:rsidR="00BE70E2" w:rsidRDefault="00000000">
          <w:pPr>
            <w:autoSpaceDE w:val="0"/>
            <w:autoSpaceDN w:val="0"/>
            <w:ind w:hanging="480"/>
            <w:rPr>
              <w:rFonts w:eastAsia="Times New Roman"/>
            </w:rPr>
          </w:pPr>
          <w:r>
            <w:rPr>
              <w:rFonts w:eastAsia="Times New Roman"/>
            </w:rPr>
            <w:t xml:space="preserve">Corte Constitucional de Colombia. (2019). Sentencia C-110. </w:t>
          </w:r>
          <w:r>
            <w:rPr>
              <w:rFonts w:eastAsia="Times New Roman"/>
              <w:i/>
              <w:iCs/>
            </w:rPr>
            <w:t>[M.P. Alejandro Linares Cantillo]</w:t>
          </w:r>
          <w:r>
            <w:rPr>
              <w:rFonts w:eastAsia="Times New Roman"/>
            </w:rPr>
            <w:t>. https://www.corteconstitucional.gov.co/relatoria/2019/c-110-19.htm</w:t>
          </w:r>
        </w:p>
        <w:p w14:paraId="7907100E" w14:textId="77777777" w:rsidR="00BE70E2" w:rsidRDefault="00000000">
          <w:pPr>
            <w:autoSpaceDE w:val="0"/>
            <w:autoSpaceDN w:val="0"/>
            <w:ind w:hanging="480"/>
            <w:rPr>
              <w:rFonts w:eastAsia="Times New Roman"/>
            </w:rPr>
          </w:pPr>
          <w:r>
            <w:rPr>
              <w:rFonts w:eastAsia="Times New Roman"/>
            </w:rPr>
            <w:t xml:space="preserve">Corte Constitucional de Colombia. (2000). Sentencia T-1016 de 2000. </w:t>
          </w:r>
          <w:r>
            <w:rPr>
              <w:rFonts w:eastAsia="Times New Roman"/>
              <w:i/>
              <w:iCs/>
            </w:rPr>
            <w:t>[M.P. Alejandro Martínez Caballero]</w:t>
          </w:r>
          <w:r>
            <w:rPr>
              <w:rFonts w:eastAsia="Times New Roman"/>
            </w:rPr>
            <w:t>.</w:t>
          </w:r>
        </w:p>
        <w:p w14:paraId="1EFFEC36" w14:textId="77777777" w:rsidR="00BE70E2" w:rsidRDefault="00000000">
          <w:pPr>
            <w:autoSpaceDE w:val="0"/>
            <w:autoSpaceDN w:val="0"/>
            <w:ind w:hanging="480"/>
            <w:rPr>
              <w:rFonts w:eastAsia="Times New Roman"/>
            </w:rPr>
          </w:pPr>
          <w:r>
            <w:rPr>
              <w:rFonts w:eastAsia="Times New Roman"/>
            </w:rPr>
            <w:t xml:space="preserve">Corte Constitucional de Colombia. (2002). Sentencia C-058 de 2002. </w:t>
          </w:r>
          <w:r>
            <w:rPr>
              <w:rFonts w:eastAsia="Times New Roman"/>
              <w:i/>
              <w:iCs/>
            </w:rPr>
            <w:t>[M.P. Alvaro Tafur Galvis]</w:t>
          </w:r>
          <w:r>
            <w:rPr>
              <w:rFonts w:eastAsia="Times New Roman"/>
            </w:rPr>
            <w:t>. https://www.funcionpublica.gov.co/eva/gestornormativo/norma.php?i=6268</w:t>
          </w:r>
        </w:p>
        <w:p w14:paraId="5B15A8A9" w14:textId="77777777" w:rsidR="00BE70E2" w:rsidRDefault="00000000">
          <w:pPr>
            <w:autoSpaceDE w:val="0"/>
            <w:autoSpaceDN w:val="0"/>
            <w:ind w:hanging="480"/>
            <w:rPr>
              <w:rFonts w:eastAsia="Times New Roman"/>
            </w:rPr>
          </w:pPr>
          <w:r>
            <w:rPr>
              <w:rFonts w:eastAsia="Times New Roman"/>
            </w:rPr>
            <w:t xml:space="preserve">Corte Constitucional de Colombia. (2024a). Auto admisorio de demanda de Acción pública de inconstitucionalidad en contra de la Ley 2381 de 2024. </w:t>
          </w:r>
          <w:r>
            <w:rPr>
              <w:rFonts w:eastAsia="Times New Roman"/>
              <w:i/>
              <w:iCs/>
            </w:rPr>
            <w:t>[ M.P. Jorge Enrique Ibáñez Najar]</w:t>
          </w:r>
          <w:r>
            <w:rPr>
              <w:rFonts w:eastAsia="Times New Roman"/>
            </w:rPr>
            <w:t>. https://img.lalr.co/cms/2024/08/14143206/D-15989-Auto-admisorio.pdf</w:t>
          </w:r>
        </w:p>
        <w:p w14:paraId="68F43B73" w14:textId="77777777" w:rsidR="00BE70E2" w:rsidRDefault="00000000">
          <w:pPr>
            <w:autoSpaceDE w:val="0"/>
            <w:autoSpaceDN w:val="0"/>
            <w:ind w:hanging="480"/>
            <w:rPr>
              <w:rFonts w:eastAsia="Times New Roman"/>
            </w:rPr>
          </w:pPr>
          <w:r>
            <w:rPr>
              <w:rFonts w:eastAsia="Times New Roman"/>
            </w:rPr>
            <w:t xml:space="preserve">Corte Constitucional de Colombia. (2024b). Sentencia C-054 de 2024. </w:t>
          </w:r>
          <w:r>
            <w:rPr>
              <w:rFonts w:eastAsia="Times New Roman"/>
              <w:i/>
              <w:iCs/>
            </w:rPr>
            <w:t>[M.P. Paola Meneses Mosquera]</w:t>
          </w:r>
          <w:r>
            <w:rPr>
              <w:rFonts w:eastAsia="Times New Roman"/>
            </w:rPr>
            <w:t>. https://www.alcaldiabogota.gov.co/sisjur/normas/Norma1.jsp?i=154341</w:t>
          </w:r>
        </w:p>
        <w:p w14:paraId="7C99A5BB" w14:textId="77777777" w:rsidR="00BE70E2" w:rsidRDefault="00000000">
          <w:pPr>
            <w:autoSpaceDE w:val="0"/>
            <w:autoSpaceDN w:val="0"/>
            <w:ind w:hanging="480"/>
            <w:rPr>
              <w:rFonts w:eastAsia="Times New Roman"/>
            </w:rPr>
          </w:pPr>
          <w:r>
            <w:rPr>
              <w:rFonts w:eastAsia="Times New Roman"/>
            </w:rPr>
            <w:t xml:space="preserve">Corte Suprema de Justicia de Colombia. (2023). Sentencia SL2067-2023 . </w:t>
          </w:r>
          <w:r>
            <w:rPr>
              <w:rFonts w:eastAsia="Times New Roman"/>
              <w:i/>
              <w:iCs/>
            </w:rPr>
            <w:t>[M.P. Omar Mejía Amador]</w:t>
          </w:r>
          <w:r>
            <w:rPr>
              <w:rFonts w:eastAsia="Times New Roman"/>
            </w:rPr>
            <w:t>. https://www.cortesuprema.gov.co/corte/wp-content/uploads/relatorias/la/bsep2023/Ficha%20SL2067-2023.pdf</w:t>
          </w:r>
        </w:p>
        <w:p w14:paraId="2D77F9E9" w14:textId="77777777" w:rsidR="00BE70E2" w:rsidRDefault="00000000">
          <w:pPr>
            <w:autoSpaceDE w:val="0"/>
            <w:autoSpaceDN w:val="0"/>
            <w:ind w:hanging="480"/>
            <w:rPr>
              <w:rFonts w:eastAsia="Times New Roman"/>
            </w:rPr>
          </w:pPr>
          <w:r>
            <w:rPr>
              <w:rFonts w:eastAsia="Times New Roman"/>
            </w:rPr>
            <w:lastRenderedPageBreak/>
            <w:t xml:space="preserve">Courtis, C. (2021). </w:t>
          </w:r>
          <w:r>
            <w:rPr>
              <w:rFonts w:eastAsia="Times New Roman"/>
              <w:i/>
              <w:iCs/>
            </w:rPr>
            <w:t>La prohibición de regresividad en materia de derechos sociales: apuntes introductorios</w:t>
          </w:r>
          <w:r>
            <w:rPr>
              <w:rFonts w:eastAsia="Times New Roman"/>
            </w:rPr>
            <w:t xml:space="preserve"> (pp. 94–109). https://doi.org/10.53110/SLJO4538</w:t>
          </w:r>
        </w:p>
        <w:p w14:paraId="6EBB2699" w14:textId="77777777" w:rsidR="00BE70E2" w:rsidRDefault="00000000">
          <w:pPr>
            <w:autoSpaceDE w:val="0"/>
            <w:autoSpaceDN w:val="0"/>
            <w:ind w:hanging="480"/>
            <w:rPr>
              <w:rFonts w:eastAsia="Times New Roman"/>
              <w:lang w:val="en-US"/>
            </w:rPr>
          </w:pPr>
          <w:r>
            <w:rPr>
              <w:rFonts w:eastAsia="Times New Roman"/>
              <w:lang w:val="en-US"/>
            </w:rPr>
            <w:t xml:space="preserve">Creswell, J. W. (2014). </w:t>
          </w:r>
          <w:r>
            <w:rPr>
              <w:rFonts w:eastAsia="Times New Roman"/>
              <w:i/>
              <w:iCs/>
              <w:lang w:val="en-US"/>
            </w:rPr>
            <w:t>Qualitative inquiry and research design</w:t>
          </w:r>
          <w:r>
            <w:rPr>
              <w:rFonts w:eastAsia="Times New Roman"/>
              <w:lang w:val="en-US"/>
            </w:rPr>
            <w:t>. https://academia.utp.edu.co/seminario-investigacion-II/files/2017/08/INVESTIGACION-CUALITATIVACreswell.pdf</w:t>
          </w:r>
        </w:p>
        <w:p w14:paraId="1CC4BC50" w14:textId="77777777" w:rsidR="00BE70E2" w:rsidRDefault="00000000">
          <w:pPr>
            <w:autoSpaceDE w:val="0"/>
            <w:autoSpaceDN w:val="0"/>
            <w:ind w:hanging="480"/>
            <w:rPr>
              <w:rFonts w:eastAsia="Times New Roman"/>
            </w:rPr>
          </w:pPr>
          <w:r>
            <w:rPr>
              <w:rFonts w:eastAsia="Times New Roman"/>
            </w:rPr>
            <w:t xml:space="preserve">Denzin, N. K., &amp; Lincoln, Y. (2012). </w:t>
          </w:r>
          <w:r>
            <w:rPr>
              <w:rFonts w:eastAsia="Times New Roman"/>
              <w:i/>
              <w:iCs/>
            </w:rPr>
            <w:t>Manual de investigación cualitativa</w:t>
          </w:r>
          <w:r>
            <w:rPr>
              <w:rFonts w:eastAsia="Times New Roman"/>
            </w:rPr>
            <w:t xml:space="preserve"> (Gedisa).</w:t>
          </w:r>
        </w:p>
        <w:p w14:paraId="4278FEF0" w14:textId="77777777" w:rsidR="00BE70E2" w:rsidRDefault="00000000">
          <w:pPr>
            <w:autoSpaceDE w:val="0"/>
            <w:autoSpaceDN w:val="0"/>
            <w:ind w:hanging="480"/>
            <w:rPr>
              <w:rFonts w:eastAsia="Times New Roman"/>
            </w:rPr>
          </w:pPr>
          <w:r>
            <w:rPr>
              <w:rFonts w:eastAsia="Times New Roman"/>
            </w:rPr>
            <w:t xml:space="preserve">Duque, S., Duque, M., &amp; González, P. (2025). Las Comunidades Rurales y el Sistema Pensional Colombiano: Perspectivas y Desafíos Bajo la Ley 2381 de 2024. </w:t>
          </w:r>
          <w:r>
            <w:rPr>
              <w:rFonts w:eastAsia="Times New Roman"/>
              <w:i/>
              <w:iCs/>
            </w:rPr>
            <w:t>Revista EIA</w:t>
          </w:r>
          <w:r>
            <w:rPr>
              <w:rFonts w:eastAsia="Times New Roman"/>
            </w:rPr>
            <w:t xml:space="preserve">, </w:t>
          </w:r>
          <w:r>
            <w:rPr>
              <w:rFonts w:eastAsia="Times New Roman"/>
              <w:i/>
              <w:iCs/>
            </w:rPr>
            <w:t>22</w:t>
          </w:r>
          <w:r>
            <w:rPr>
              <w:rFonts w:eastAsia="Times New Roman"/>
            </w:rPr>
            <w:t>(43). https://doi.org/10.24050/reia.v22i43.1849</w:t>
          </w:r>
        </w:p>
        <w:p w14:paraId="36D907AB" w14:textId="77777777" w:rsidR="00BE70E2" w:rsidRDefault="00000000">
          <w:pPr>
            <w:autoSpaceDE w:val="0"/>
            <w:autoSpaceDN w:val="0"/>
            <w:ind w:hanging="480"/>
            <w:rPr>
              <w:rFonts w:eastAsia="Times New Roman"/>
              <w:lang w:val="en-US"/>
            </w:rPr>
          </w:pPr>
          <w:r>
            <w:rPr>
              <w:rFonts w:eastAsia="Times New Roman"/>
            </w:rPr>
            <w:t xml:space="preserve">Fondo Monetario Internacional. </w:t>
          </w:r>
          <w:r>
            <w:rPr>
              <w:rFonts w:eastAsia="Times New Roman"/>
              <w:lang w:val="en-US"/>
            </w:rPr>
            <w:t xml:space="preserve">(2023). </w:t>
          </w:r>
          <w:r>
            <w:rPr>
              <w:rFonts w:eastAsia="Times New Roman"/>
              <w:i/>
              <w:iCs/>
              <w:lang w:val="en-US"/>
            </w:rPr>
            <w:t>Colombia: 2023 Article IV Consultation-Press Release; Staff Report; and Statement by the Executive Director for Colombia</w:t>
          </w:r>
          <w:r>
            <w:rPr>
              <w:rFonts w:eastAsia="Times New Roman"/>
              <w:lang w:val="en-US"/>
            </w:rPr>
            <w:t xml:space="preserve"> (Vol. 23, Número 120). https://www.imf.org/en/Publications/CR/Issues/2023/03/23/Colombia-2023-Article-IV-Consultation-Press-Release-Staff-Report-and-Statement-by-the-531266</w:t>
          </w:r>
        </w:p>
        <w:p w14:paraId="3F07F3BA" w14:textId="77777777" w:rsidR="00BE70E2" w:rsidRDefault="00000000">
          <w:pPr>
            <w:autoSpaceDE w:val="0"/>
            <w:autoSpaceDN w:val="0"/>
            <w:ind w:hanging="480"/>
            <w:rPr>
              <w:rFonts w:eastAsia="Times New Roman"/>
            </w:rPr>
          </w:pPr>
          <w:r>
            <w:rPr>
              <w:rFonts w:eastAsia="Times New Roman"/>
            </w:rPr>
            <w:t xml:space="preserve">Forvis Mazars. (2024). </w:t>
          </w:r>
          <w:r>
            <w:rPr>
              <w:rFonts w:eastAsia="Times New Roman"/>
              <w:i/>
              <w:iCs/>
            </w:rPr>
            <w:t>Boletín informativo. Novedades de la Ley 2381 del 2024: Nuevo Sistema Pensional</w:t>
          </w:r>
          <w:r>
            <w:rPr>
              <w:rFonts w:eastAsia="Times New Roman"/>
            </w:rPr>
            <w:t>. https://www.forvismazars.com/co/es/content/download/1212654/file/Boletin%20-%20Nuevo%20Sistema%20Pensional.pdf</w:t>
          </w:r>
        </w:p>
        <w:p w14:paraId="2F1E00C9" w14:textId="77777777" w:rsidR="00BE70E2" w:rsidRDefault="00000000">
          <w:pPr>
            <w:autoSpaceDE w:val="0"/>
            <w:autoSpaceDN w:val="0"/>
            <w:ind w:hanging="480"/>
            <w:rPr>
              <w:rFonts w:eastAsia="Times New Roman"/>
            </w:rPr>
          </w:pPr>
          <w:r>
            <w:rPr>
              <w:rFonts w:eastAsia="Times New Roman"/>
            </w:rPr>
            <w:t xml:space="preserve">Franco, P., Oquendo, T., &amp; Berrio, C. (2015). Posibles perspectivas del sistema de pensiones en Colombia: análisis desde el sistema pensional chileno. </w:t>
          </w:r>
          <w:r>
            <w:rPr>
              <w:rFonts w:eastAsia="Times New Roman"/>
              <w:i/>
              <w:iCs/>
            </w:rPr>
            <w:t>Revista CES Derecho</w:t>
          </w:r>
          <w:r>
            <w:rPr>
              <w:rFonts w:eastAsia="Times New Roman"/>
            </w:rPr>
            <w:t xml:space="preserve">, </w:t>
          </w:r>
          <w:r>
            <w:rPr>
              <w:rFonts w:eastAsia="Times New Roman"/>
              <w:i/>
              <w:iCs/>
            </w:rPr>
            <w:t>6</w:t>
          </w:r>
          <w:r>
            <w:rPr>
              <w:rFonts w:eastAsia="Times New Roman"/>
            </w:rPr>
            <w:t>(1), 79–93. https://revistas.ces.edu.co/index.php/derecho/article/view/3443</w:t>
          </w:r>
        </w:p>
        <w:p w14:paraId="2D10ED2C" w14:textId="77777777" w:rsidR="00BE70E2" w:rsidRDefault="00000000">
          <w:pPr>
            <w:autoSpaceDE w:val="0"/>
            <w:autoSpaceDN w:val="0"/>
            <w:ind w:hanging="480"/>
            <w:rPr>
              <w:rFonts w:eastAsia="Times New Roman"/>
            </w:rPr>
          </w:pPr>
          <w:r>
            <w:rPr>
              <w:rFonts w:eastAsia="Times New Roman"/>
            </w:rPr>
            <w:lastRenderedPageBreak/>
            <w:t xml:space="preserve">Granados, J. (2023). Retos de la reforma pensional en Colombia: desafíos y oportunidades. </w:t>
          </w:r>
          <w:r>
            <w:rPr>
              <w:rFonts w:eastAsia="Times New Roman"/>
              <w:i/>
              <w:iCs/>
            </w:rPr>
            <w:t>Revista Jurídica Mario Alario D´Filippo</w:t>
          </w:r>
          <w:r>
            <w:rPr>
              <w:rFonts w:eastAsia="Times New Roman"/>
            </w:rPr>
            <w:t xml:space="preserve">, </w:t>
          </w:r>
          <w:r>
            <w:rPr>
              <w:rFonts w:eastAsia="Times New Roman"/>
              <w:i/>
              <w:iCs/>
            </w:rPr>
            <w:t>15</w:t>
          </w:r>
          <w:r>
            <w:rPr>
              <w:rFonts w:eastAsia="Times New Roman"/>
            </w:rPr>
            <w:t>(31), 469–489. https://doi.org/10.32997/2256-2796-vol.15-num.31-2023-4476</w:t>
          </w:r>
        </w:p>
        <w:p w14:paraId="7D6775C4" w14:textId="77777777" w:rsidR="00BE70E2" w:rsidRDefault="00000000">
          <w:pPr>
            <w:autoSpaceDE w:val="0"/>
            <w:autoSpaceDN w:val="0"/>
            <w:ind w:hanging="480"/>
            <w:rPr>
              <w:rFonts w:eastAsia="Times New Roman"/>
            </w:rPr>
          </w:pPr>
          <w:r>
            <w:rPr>
              <w:rFonts w:eastAsia="Times New Roman"/>
            </w:rPr>
            <w:t xml:space="preserve">Hernández, R., Fernández, C., &amp; Baptista, L. (2014). </w:t>
          </w:r>
          <w:r>
            <w:rPr>
              <w:rFonts w:eastAsia="Times New Roman"/>
              <w:i/>
              <w:iCs/>
            </w:rPr>
            <w:t>Metodología de la Investigación</w:t>
          </w:r>
          <w:r>
            <w:rPr>
              <w:rFonts w:eastAsia="Times New Roman"/>
            </w:rPr>
            <w:t xml:space="preserve"> (McGRAW-HILL, Ed.; 6a ed.). https://www.esup.edu.pe/wp-content/uploads/2020/12/2.%20Hernandez,%20Fernandez%20y%20Baptista-Metodolog%C3%ADa%20Investigacion%20Cientifica%206ta%20ed.pdf</w:t>
          </w:r>
        </w:p>
        <w:p w14:paraId="051DD6AB" w14:textId="77777777" w:rsidR="00BE70E2" w:rsidRDefault="00000000">
          <w:pPr>
            <w:autoSpaceDE w:val="0"/>
            <w:autoSpaceDN w:val="0"/>
            <w:ind w:hanging="480"/>
            <w:rPr>
              <w:rFonts w:eastAsia="Times New Roman"/>
            </w:rPr>
          </w:pPr>
          <w:r>
            <w:rPr>
              <w:rFonts w:eastAsia="Times New Roman"/>
            </w:rPr>
            <w:t xml:space="preserve">Instituto Interamericano de Derechos Humanos (IIDH). (1992). </w:t>
          </w:r>
          <w:r>
            <w:rPr>
              <w:rFonts w:eastAsia="Times New Roman"/>
              <w:i/>
              <w:iCs/>
            </w:rPr>
            <w:t>Pacto internacional de derechos civiles y políticos: protocolo facultativo del pacto internacional de derechos civiles y políticos</w:t>
          </w:r>
          <w:r>
            <w:rPr>
              <w:rFonts w:eastAsia="Times New Roman"/>
            </w:rPr>
            <w:t>. https://biblioteca.corteidh.or.cr/documento/55133</w:t>
          </w:r>
        </w:p>
        <w:p w14:paraId="64C11857" w14:textId="77777777" w:rsidR="00BE70E2" w:rsidRDefault="00000000">
          <w:pPr>
            <w:autoSpaceDE w:val="0"/>
            <w:autoSpaceDN w:val="0"/>
            <w:ind w:hanging="480"/>
            <w:rPr>
              <w:rFonts w:eastAsia="Times New Roman"/>
            </w:rPr>
          </w:pPr>
          <w:r>
            <w:rPr>
              <w:rFonts w:eastAsia="Times New Roman"/>
            </w:rPr>
            <w:t xml:space="preserve">Leitch, D., Sánchez, R., &amp; Villena, M. (2020). Sistemas de pensiones en el mundo: Lecciones para Chile. </w:t>
          </w:r>
          <w:r>
            <w:rPr>
              <w:rFonts w:eastAsia="Times New Roman"/>
              <w:i/>
              <w:iCs/>
            </w:rPr>
            <w:t>Puntos de referencia. Economía y Políticas Públicas(556)</w:t>
          </w:r>
          <w:r>
            <w:rPr>
              <w:rFonts w:eastAsia="Times New Roman"/>
            </w:rPr>
            <w:t>. https://static.cepchile.cl/uploads/cepchile/2022/09/pder556_dleitch_rsanchez_mvillena.pdf</w:t>
          </w:r>
        </w:p>
        <w:p w14:paraId="5ECFA09D" w14:textId="77777777" w:rsidR="00BE70E2" w:rsidRDefault="00000000">
          <w:pPr>
            <w:autoSpaceDE w:val="0"/>
            <w:autoSpaceDN w:val="0"/>
            <w:ind w:hanging="480"/>
            <w:rPr>
              <w:rFonts w:eastAsia="Times New Roman"/>
            </w:rPr>
          </w:pPr>
          <w:r>
            <w:rPr>
              <w:rFonts w:eastAsia="Times New Roman"/>
            </w:rPr>
            <w:t xml:space="preserve">Mejía, L. (2022). </w:t>
          </w:r>
          <w:r>
            <w:rPr>
              <w:rFonts w:eastAsia="Times New Roman"/>
              <w:i/>
              <w:iCs/>
            </w:rPr>
            <w:t>¿Qué hacer en políticas públicas?</w:t>
          </w:r>
          <w:r>
            <w:rPr>
              <w:rFonts w:eastAsia="Times New Roman"/>
            </w:rPr>
            <w:t xml:space="preserve"> Fedesarrollo. https://www.repository.fedesarrollo.org.co/handle/11445/4273</w:t>
          </w:r>
        </w:p>
        <w:p w14:paraId="5E518D29" w14:textId="77777777" w:rsidR="00BE70E2" w:rsidRDefault="00000000">
          <w:pPr>
            <w:autoSpaceDE w:val="0"/>
            <w:autoSpaceDN w:val="0"/>
            <w:ind w:hanging="480"/>
            <w:rPr>
              <w:rFonts w:eastAsia="Times New Roman"/>
            </w:rPr>
          </w:pPr>
          <w:r>
            <w:rPr>
              <w:rFonts w:eastAsia="Times New Roman"/>
            </w:rPr>
            <w:t xml:space="preserve">Moreno, N. (2025). </w:t>
          </w:r>
          <w:r>
            <w:rPr>
              <w:rFonts w:eastAsia="Times New Roman"/>
              <w:i/>
              <w:iCs/>
            </w:rPr>
            <w:t>Procuraduría solicita aval de la Corte Constitucional para reforma pensional: respaldo a legalidad y derechos adquiridos</w:t>
          </w:r>
          <w:r>
            <w:rPr>
              <w:rFonts w:eastAsia="Times New Roman"/>
            </w:rPr>
            <w:t>. https://consultorsalud.com/procuraduria-aval-corte-para-reforma-pensional/</w:t>
          </w:r>
        </w:p>
        <w:p w14:paraId="79A14DD6" w14:textId="77777777" w:rsidR="00BE70E2" w:rsidRDefault="00000000">
          <w:pPr>
            <w:autoSpaceDE w:val="0"/>
            <w:autoSpaceDN w:val="0"/>
            <w:ind w:hanging="480"/>
            <w:rPr>
              <w:rFonts w:eastAsia="Times New Roman"/>
            </w:rPr>
          </w:pPr>
          <w:r>
            <w:rPr>
              <w:rFonts w:eastAsia="Times New Roman"/>
            </w:rPr>
            <w:t xml:space="preserve">Organización Internacional del Trabajo [OIT]. (2025). </w:t>
          </w:r>
          <w:r>
            <w:rPr>
              <w:rFonts w:eastAsia="Times New Roman"/>
              <w:i/>
              <w:iCs/>
            </w:rPr>
            <w:t xml:space="preserve">Sistema de Protección Social Integral para la Vejez, Invalidez y Muerte de origen común Análisis de la Ley 2381 de 2024 de Colombia a la luz </w:t>
          </w:r>
          <w:r>
            <w:rPr>
              <w:rFonts w:eastAsia="Times New Roman"/>
              <w:i/>
              <w:iCs/>
            </w:rPr>
            <w:lastRenderedPageBreak/>
            <w:t>del Convenio núm. 102</w:t>
          </w:r>
          <w:r>
            <w:rPr>
              <w:rFonts w:eastAsia="Times New Roman"/>
            </w:rPr>
            <w:t>. https://www.ilo.org/sites/default/files/2025-04/Analisis%20Ley%202381%20y%20Convenio%20102.pdf</w:t>
          </w:r>
        </w:p>
        <w:p w14:paraId="3C33F2D1" w14:textId="77777777" w:rsidR="00BE70E2" w:rsidRDefault="00000000">
          <w:pPr>
            <w:autoSpaceDE w:val="0"/>
            <w:autoSpaceDN w:val="0"/>
            <w:ind w:hanging="480"/>
            <w:rPr>
              <w:rFonts w:eastAsia="Times New Roman"/>
            </w:rPr>
          </w:pPr>
          <w:r>
            <w:rPr>
              <w:rFonts w:eastAsia="Times New Roman"/>
            </w:rPr>
            <w:t xml:space="preserve">Otero, D. (2024). Luces y sombras de la reforma pensional colombiana. </w:t>
          </w:r>
          <w:r>
            <w:rPr>
              <w:rFonts w:eastAsia="Times New Roman"/>
              <w:i/>
              <w:iCs/>
            </w:rPr>
            <w:t>Observatorio de Financiamiento para el Desarrollo.</w:t>
          </w:r>
          <w:r>
            <w:rPr>
              <w:rFonts w:eastAsia="Times New Roman"/>
            </w:rPr>
            <w:t xml:space="preserve">, </w:t>
          </w:r>
          <w:r>
            <w:rPr>
              <w:rFonts w:eastAsia="Times New Roman"/>
              <w:i/>
              <w:iCs/>
            </w:rPr>
            <w:t>Nota Técnica N</w:t>
          </w:r>
          <w:r>
            <w:rPr>
              <w:rFonts w:eastAsia="Times New Roman"/>
              <w:i/>
              <w:iCs/>
              <w:vertAlign w:val="superscript"/>
            </w:rPr>
            <w:t>o</w:t>
          </w:r>
          <w:r>
            <w:rPr>
              <w:rFonts w:eastAsia="Times New Roman"/>
              <w:i/>
              <w:iCs/>
            </w:rPr>
            <w:t xml:space="preserve"> 7</w:t>
          </w:r>
          <w:r>
            <w:rPr>
              <w:rFonts w:eastAsia="Times New Roman"/>
            </w:rPr>
            <w:t>, 12–16. https://revistasdivulgacion.uce.edu.ec/index.php/OBSERVATORIO/article/view/527/539</w:t>
          </w:r>
        </w:p>
        <w:p w14:paraId="2FF7214E" w14:textId="77777777" w:rsidR="00BE70E2" w:rsidRDefault="00000000">
          <w:pPr>
            <w:autoSpaceDE w:val="0"/>
            <w:autoSpaceDN w:val="0"/>
            <w:ind w:hanging="480"/>
            <w:rPr>
              <w:rFonts w:eastAsia="Times New Roman"/>
            </w:rPr>
          </w:pPr>
          <w:r>
            <w:rPr>
              <w:rFonts w:eastAsia="Times New Roman"/>
            </w:rPr>
            <w:t xml:space="preserve">Pérez, L. F., &amp; Lozano, J. P. (2024). </w:t>
          </w:r>
          <w:r>
            <w:rPr>
              <w:rFonts w:eastAsia="Times New Roman"/>
              <w:i/>
              <w:iCs/>
            </w:rPr>
            <w:t>Reforma pensional en Colombia: Pilares, transición y fortalecimiento para la equidad</w:t>
          </w:r>
          <w:r>
            <w:rPr>
              <w:rFonts w:eastAsia="Times New Roman"/>
            </w:rPr>
            <w:t xml:space="preserve"> [Tesis de maestria, Universidad Pontificia Bolivariana]. https://repository.upb.edu.co/handle/20.500.11912/12144</w:t>
          </w:r>
        </w:p>
        <w:p w14:paraId="36C57DF6" w14:textId="77777777" w:rsidR="00BE70E2" w:rsidRDefault="00000000">
          <w:pPr>
            <w:autoSpaceDE w:val="0"/>
            <w:autoSpaceDN w:val="0"/>
            <w:ind w:hanging="480"/>
            <w:rPr>
              <w:rFonts w:eastAsia="Times New Roman"/>
            </w:rPr>
          </w:pPr>
          <w:r>
            <w:rPr>
              <w:rFonts w:eastAsia="Times New Roman"/>
            </w:rPr>
            <w:t xml:space="preserve">Ruiz, M. (2025). </w:t>
          </w:r>
          <w:r>
            <w:rPr>
              <w:rFonts w:eastAsia="Times New Roman"/>
              <w:i/>
              <w:iCs/>
            </w:rPr>
            <w:t>¿Qué protege realmente la reforma pensional del 2024 en Colombia, el aspecto social o la sostenibilidad financiera?</w:t>
          </w:r>
          <w:r>
            <w:rPr>
              <w:rFonts w:eastAsia="Times New Roman"/>
            </w:rPr>
            <w:t xml:space="preserve"> [Trabajo de grado, Universidad CES]. https://repository.ces.edu.co/items/445e02aa-b395-4f0f-9c5c-9876bf4cbf45</w:t>
          </w:r>
        </w:p>
        <w:p w14:paraId="517E0AED" w14:textId="77777777" w:rsidR="00BE70E2" w:rsidRDefault="00000000">
          <w:pPr>
            <w:autoSpaceDE w:val="0"/>
            <w:autoSpaceDN w:val="0"/>
            <w:ind w:hanging="480"/>
            <w:rPr>
              <w:rFonts w:eastAsia="Times New Roman"/>
            </w:rPr>
          </w:pPr>
          <w:r>
            <w:rPr>
              <w:rFonts w:eastAsia="Times New Roman"/>
            </w:rPr>
            <w:t xml:space="preserve">Santanilla, F. (2025). </w:t>
          </w:r>
          <w:r>
            <w:rPr>
              <w:rFonts w:eastAsia="Times New Roman"/>
              <w:i/>
              <w:iCs/>
            </w:rPr>
            <w:t>Departamentos donde más cayeron los nacimientos en 2024: estos son los efectos de la baja natalidad en Colombia</w:t>
          </w:r>
          <w:r>
            <w:rPr>
              <w:rFonts w:eastAsia="Times New Roman"/>
            </w:rPr>
            <w:t>. El Tiempo. https://www.eltiempo.com/economia/sectores/los-departamentos-con-mayor-descenso-en-el-numero-de-nacimientos-en-colombia-hay-preocupacion-entre-expertos-3439049</w:t>
          </w:r>
        </w:p>
        <w:p w14:paraId="6B7607A7" w14:textId="77777777" w:rsidR="00BE70E2" w:rsidRDefault="00000000">
          <w:pPr>
            <w:autoSpaceDE w:val="0"/>
            <w:autoSpaceDN w:val="0"/>
            <w:ind w:hanging="480"/>
            <w:rPr>
              <w:rFonts w:eastAsia="Times New Roman"/>
            </w:rPr>
          </w:pPr>
          <w:r>
            <w:rPr>
              <w:rFonts w:eastAsia="Times New Roman"/>
            </w:rPr>
            <w:t xml:space="preserve">Simple. (2025). </w:t>
          </w:r>
          <w:r>
            <w:rPr>
              <w:rFonts w:eastAsia="Times New Roman"/>
              <w:i/>
              <w:iCs/>
            </w:rPr>
            <w:t>El ABC de la Reforma Pensional</w:t>
          </w:r>
          <w:r>
            <w:rPr>
              <w:rFonts w:eastAsia="Times New Roman"/>
            </w:rPr>
            <w:t>. https://pagosimple.com/wp-content/uploads/2025/04/Boletin-ABC-Reforma-pensional.pdf</w:t>
          </w:r>
        </w:p>
        <w:p w14:paraId="2A107E8A" w14:textId="77777777" w:rsidR="00BE70E2" w:rsidRDefault="00000000">
          <w:pPr>
            <w:autoSpaceDE w:val="0"/>
            <w:autoSpaceDN w:val="0"/>
            <w:spacing w:line="360" w:lineRule="auto"/>
            <w:ind w:hanging="480"/>
          </w:pPr>
          <w:r>
            <w:rPr>
              <w:rFonts w:eastAsia="Times New Roman"/>
            </w:rPr>
            <w:t> </w:t>
          </w:r>
        </w:p>
      </w:sdtContent>
    </w:sdt>
    <w:sectPr w:rsidR="00BE70E2">
      <w:headerReference w:type="default" r:id="rId9"/>
      <w:footerReference w:type="default" r:id="rId10"/>
      <w:headerReference w:type="first" r:id="rId11"/>
      <w:footnotePr>
        <w:pos w:val="beneathText"/>
      </w:footnotePr>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5A6B25" w14:textId="77777777" w:rsidR="005257D9" w:rsidRDefault="005257D9">
      <w:pPr>
        <w:spacing w:line="240" w:lineRule="auto"/>
      </w:pPr>
      <w:r>
        <w:separator/>
      </w:r>
    </w:p>
  </w:endnote>
  <w:endnote w:type="continuationSeparator" w:id="0">
    <w:p w14:paraId="335D36E3" w14:textId="77777777" w:rsidR="005257D9" w:rsidRDefault="005257D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Consolas">
    <w:panose1 w:val="020B0609020204030204"/>
    <w:charset w:val="00"/>
    <w:family w:val="modern"/>
    <w:pitch w:val="default"/>
    <w:sig w:usb0="E00006FF" w:usb1="0000FCFF" w:usb2="00000001" w:usb3="00000000" w:csb0="6000019F" w:csb1="DFD70000"/>
  </w:font>
  <w:font w:name="Segoe UI">
    <w:panose1 w:val="020B0502040204020203"/>
    <w:charset w:val="00"/>
    <w:family w:val="swiss"/>
    <w:pitch w:val="default"/>
    <w:sig w:usb0="E4002EFF" w:usb1="C000E47F" w:usb2="00000009" w:usb3="00000000" w:csb0="200001FF" w:csb1="00000000"/>
  </w:font>
  <w:font w:name="Arial">
    <w:panose1 w:val="020B0604020202020204"/>
    <w:charset w:val="00"/>
    <w:family w:val="swiss"/>
    <w:pitch w:val="variable"/>
    <w:sig w:usb0="E0002EFF" w:usb1="C000785B" w:usb2="00000009" w:usb3="00000000" w:csb0="000001FF" w:csb1="00000000"/>
  </w:font>
  <w:font w:name="Google Sans">
    <w:altName w:val="Liberation Mono"/>
    <w:charset w:val="00"/>
    <w:family w:val="auto"/>
    <w:pitch w:val="default"/>
  </w:font>
  <w:font w:name="Google Sans Text">
    <w:altName w:val="Calibri"/>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CE48A8" w14:textId="77777777" w:rsidR="00BE70E2" w:rsidRDefault="00BE70E2">
    <w:pPr>
      <w:pStyle w:val="Piedepgina"/>
      <w:jc w:val="center"/>
      <w:rPr>
        <w:sz w:val="20"/>
        <w:szCs w:val="20"/>
      </w:rPr>
    </w:pPr>
  </w:p>
  <w:p w14:paraId="03C602BE" w14:textId="77777777" w:rsidR="00BE70E2" w:rsidRDefault="00BE70E2">
    <w:pPr>
      <w:pStyle w:val="Piedepgina"/>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C641C4" w14:textId="77777777" w:rsidR="005257D9" w:rsidRDefault="005257D9">
      <w:pPr>
        <w:spacing w:after="0"/>
      </w:pPr>
      <w:r>
        <w:separator/>
      </w:r>
    </w:p>
  </w:footnote>
  <w:footnote w:type="continuationSeparator" w:id="0">
    <w:p w14:paraId="05056FB9" w14:textId="77777777" w:rsidR="005257D9" w:rsidRDefault="005257D9">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80420477"/>
    </w:sdtPr>
    <w:sdtContent>
      <w:p w14:paraId="6DB04F15" w14:textId="77777777" w:rsidR="00BE70E2" w:rsidRDefault="00000000">
        <w:pPr>
          <w:pStyle w:val="Encabezado"/>
          <w:jc w:val="right"/>
        </w:pPr>
        <w:r>
          <w:fldChar w:fldCharType="begin"/>
        </w:r>
        <w:r>
          <w:instrText>PAGE   \* MERGEFORMAT</w:instrText>
        </w:r>
        <w:r>
          <w:fldChar w:fldCharType="separate"/>
        </w:r>
        <w:r>
          <w:rPr>
            <w:lang w:val="es-ES"/>
          </w:rPr>
          <w:t>2</w:t>
        </w:r>
        <w: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695B5D" w14:textId="77777777" w:rsidR="00BE70E2" w:rsidRDefault="00000000">
    <w:pPr>
      <w:pStyle w:val="Encabezado"/>
      <w:rPr>
        <w:color w:val="666666" w:themeColor="text2" w:themeTint="99"/>
      </w:rPr>
    </w:pPr>
    <w:r>
      <w:t>LA REFORMA PENSIONAL Y SUS CONSECUENCIAS A LARGO PLAZO</w:t>
    </w:r>
    <w:r>
      <w:rPr>
        <w:color w:val="666666" w:themeColor="text2" w:themeTint="99"/>
        <w:lang w:val="es-ES"/>
      </w:rPr>
      <w:t xml:space="preserve">                           </w:t>
    </w:r>
    <w:r>
      <w:rPr>
        <w:color w:val="666666" w:themeColor="text2" w:themeTint="99"/>
      </w:rPr>
      <w:fldChar w:fldCharType="begin"/>
    </w:r>
    <w:r>
      <w:rPr>
        <w:color w:val="666666" w:themeColor="text2" w:themeTint="99"/>
      </w:rPr>
      <w:instrText>PAGE   \* MERGEFORMAT</w:instrText>
    </w:r>
    <w:r>
      <w:rPr>
        <w:color w:val="666666" w:themeColor="text2" w:themeTint="99"/>
      </w:rPr>
      <w:fldChar w:fldCharType="separate"/>
    </w:r>
    <w:r>
      <w:rPr>
        <w:color w:val="666666" w:themeColor="text2" w:themeTint="99"/>
        <w:lang w:val="es-ES"/>
      </w:rPr>
      <w:t>2</w:t>
    </w:r>
    <w:r>
      <w:rPr>
        <w:color w:val="666666" w:themeColor="text2" w:themeTint="99"/>
      </w:rPr>
      <w:fldChar w:fldCharType="end"/>
    </w:r>
  </w:p>
  <w:p w14:paraId="3CE2D687" w14:textId="77777777" w:rsidR="00BE70E2" w:rsidRDefault="00BE70E2">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FFFFFF7C"/>
    <w:lvl w:ilvl="0">
      <w:start w:val="1"/>
      <w:numFmt w:val="decimal"/>
      <w:pStyle w:val="Listaconnmeros5"/>
      <w:lvlText w:val="%1."/>
      <w:lvlJc w:val="left"/>
      <w:pPr>
        <w:tabs>
          <w:tab w:val="left" w:pos="1800"/>
        </w:tabs>
        <w:ind w:left="1800" w:hanging="360"/>
      </w:pPr>
    </w:lvl>
  </w:abstractNum>
  <w:abstractNum w:abstractNumId="1" w15:restartNumberingAfterBreak="0">
    <w:nsid w:val="FFFFFF7D"/>
    <w:multiLevelType w:val="singleLevel"/>
    <w:tmpl w:val="FFFFFF7D"/>
    <w:lvl w:ilvl="0">
      <w:start w:val="1"/>
      <w:numFmt w:val="decimal"/>
      <w:pStyle w:val="Listaconnmeros4"/>
      <w:lvlText w:val="%1."/>
      <w:lvlJc w:val="left"/>
      <w:pPr>
        <w:tabs>
          <w:tab w:val="left" w:pos="1440"/>
        </w:tabs>
        <w:ind w:left="1440" w:hanging="360"/>
      </w:pPr>
    </w:lvl>
  </w:abstractNum>
  <w:abstractNum w:abstractNumId="2" w15:restartNumberingAfterBreak="0">
    <w:nsid w:val="FFFFFF7E"/>
    <w:multiLevelType w:val="singleLevel"/>
    <w:tmpl w:val="FFFFFF7E"/>
    <w:lvl w:ilvl="0">
      <w:start w:val="1"/>
      <w:numFmt w:val="decimal"/>
      <w:pStyle w:val="Listaconnmeros3"/>
      <w:lvlText w:val="%1."/>
      <w:lvlJc w:val="left"/>
      <w:pPr>
        <w:tabs>
          <w:tab w:val="left" w:pos="1080"/>
        </w:tabs>
        <w:ind w:left="1080" w:hanging="360"/>
      </w:pPr>
    </w:lvl>
  </w:abstractNum>
  <w:abstractNum w:abstractNumId="3" w15:restartNumberingAfterBreak="0">
    <w:nsid w:val="FFFFFF7F"/>
    <w:multiLevelType w:val="singleLevel"/>
    <w:tmpl w:val="FFFFFF7F"/>
    <w:lvl w:ilvl="0">
      <w:start w:val="1"/>
      <w:numFmt w:val="decimal"/>
      <w:pStyle w:val="Listaconnmeros2"/>
      <w:lvlText w:val="%1."/>
      <w:lvlJc w:val="left"/>
      <w:pPr>
        <w:tabs>
          <w:tab w:val="left" w:pos="720"/>
        </w:tabs>
        <w:ind w:left="720" w:hanging="360"/>
      </w:pPr>
    </w:lvl>
  </w:abstractNum>
  <w:abstractNum w:abstractNumId="4" w15:restartNumberingAfterBreak="0">
    <w:nsid w:val="FFFFFF80"/>
    <w:multiLevelType w:val="singleLevel"/>
    <w:tmpl w:val="FFFFFF80"/>
    <w:lvl w:ilvl="0">
      <w:start w:val="1"/>
      <w:numFmt w:val="bullet"/>
      <w:pStyle w:val="Listaconvietas5"/>
      <w:lvlText w:val=""/>
      <w:lvlJc w:val="left"/>
      <w:pPr>
        <w:tabs>
          <w:tab w:val="left" w:pos="1800"/>
        </w:tabs>
        <w:ind w:left="1800" w:hanging="360"/>
      </w:pPr>
      <w:rPr>
        <w:rFonts w:ascii="Symbol" w:hAnsi="Symbol" w:hint="default"/>
      </w:rPr>
    </w:lvl>
  </w:abstractNum>
  <w:abstractNum w:abstractNumId="5" w15:restartNumberingAfterBreak="0">
    <w:nsid w:val="FFFFFF81"/>
    <w:multiLevelType w:val="singleLevel"/>
    <w:tmpl w:val="FFFFFF81"/>
    <w:lvl w:ilvl="0">
      <w:start w:val="1"/>
      <w:numFmt w:val="bullet"/>
      <w:pStyle w:val="Listaconvietas4"/>
      <w:lvlText w:val=""/>
      <w:lvlJc w:val="left"/>
      <w:pPr>
        <w:tabs>
          <w:tab w:val="left" w:pos="1440"/>
        </w:tabs>
        <w:ind w:left="1440" w:hanging="360"/>
      </w:pPr>
      <w:rPr>
        <w:rFonts w:ascii="Symbol" w:hAnsi="Symbol" w:hint="default"/>
      </w:rPr>
    </w:lvl>
  </w:abstractNum>
  <w:abstractNum w:abstractNumId="6" w15:restartNumberingAfterBreak="0">
    <w:nsid w:val="FFFFFF82"/>
    <w:multiLevelType w:val="singleLevel"/>
    <w:tmpl w:val="FFFFFF82"/>
    <w:lvl w:ilvl="0">
      <w:start w:val="1"/>
      <w:numFmt w:val="bullet"/>
      <w:pStyle w:val="Listaconvietas3"/>
      <w:lvlText w:val=""/>
      <w:lvlJc w:val="left"/>
      <w:pPr>
        <w:tabs>
          <w:tab w:val="left" w:pos="1080"/>
        </w:tabs>
        <w:ind w:left="1080" w:hanging="360"/>
      </w:pPr>
      <w:rPr>
        <w:rFonts w:ascii="Symbol" w:hAnsi="Symbol" w:hint="default"/>
      </w:rPr>
    </w:lvl>
  </w:abstractNum>
  <w:abstractNum w:abstractNumId="7" w15:restartNumberingAfterBreak="0">
    <w:nsid w:val="FFFFFF83"/>
    <w:multiLevelType w:val="singleLevel"/>
    <w:tmpl w:val="FFFFFF83"/>
    <w:lvl w:ilvl="0">
      <w:start w:val="1"/>
      <w:numFmt w:val="bullet"/>
      <w:pStyle w:val="Listaconvietas2"/>
      <w:lvlText w:val=""/>
      <w:lvlJc w:val="left"/>
      <w:pPr>
        <w:tabs>
          <w:tab w:val="left" w:pos="720"/>
        </w:tabs>
        <w:ind w:left="720" w:hanging="360"/>
      </w:pPr>
      <w:rPr>
        <w:rFonts w:ascii="Symbol" w:hAnsi="Symbol" w:hint="default"/>
      </w:rPr>
    </w:lvl>
  </w:abstractNum>
  <w:abstractNum w:abstractNumId="8" w15:restartNumberingAfterBreak="0">
    <w:nsid w:val="FFFFFF88"/>
    <w:multiLevelType w:val="singleLevel"/>
    <w:tmpl w:val="FFFFFF88"/>
    <w:lvl w:ilvl="0">
      <w:start w:val="1"/>
      <w:numFmt w:val="decimal"/>
      <w:pStyle w:val="Listaconnmeros"/>
      <w:lvlText w:val="%1."/>
      <w:lvlJc w:val="left"/>
      <w:pPr>
        <w:tabs>
          <w:tab w:val="left" w:pos="1080"/>
        </w:tabs>
        <w:ind w:left="1080" w:hanging="360"/>
      </w:pPr>
      <w:rPr>
        <w:rFonts w:hint="default"/>
      </w:rPr>
    </w:lvl>
  </w:abstractNum>
  <w:abstractNum w:abstractNumId="9" w15:restartNumberingAfterBreak="0">
    <w:nsid w:val="FFFFFF89"/>
    <w:multiLevelType w:val="singleLevel"/>
    <w:tmpl w:val="FFFFFF89"/>
    <w:lvl w:ilvl="0">
      <w:start w:val="1"/>
      <w:numFmt w:val="bullet"/>
      <w:pStyle w:val="Listaconvietas"/>
      <w:lvlText w:val=""/>
      <w:lvlJc w:val="left"/>
      <w:pPr>
        <w:tabs>
          <w:tab w:val="left" w:pos="1080"/>
        </w:tabs>
        <w:ind w:left="1080" w:hanging="360"/>
      </w:pPr>
      <w:rPr>
        <w:rFonts w:ascii="Symbol" w:hAnsi="Symbol" w:hint="default"/>
      </w:rPr>
    </w:lvl>
  </w:abstractNum>
  <w:abstractNum w:abstractNumId="10" w15:restartNumberingAfterBreak="0">
    <w:nsid w:val="12DA6A43"/>
    <w:multiLevelType w:val="multilevel"/>
    <w:tmpl w:val="12DA6A43"/>
    <w:lvl w:ilvl="0">
      <w:start w:val="1"/>
      <w:numFmt w:val="decimal"/>
      <w:lvlText w:val="%1."/>
      <w:lvlJc w:val="left"/>
      <w:pPr>
        <w:ind w:left="720" w:hanging="360"/>
      </w:pPr>
      <w:rPr>
        <w:rFonts w:hint="default"/>
      </w:rPr>
    </w:lvl>
    <w:lvl w:ilvl="1">
      <w:start w:val="5"/>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1" w15:restartNumberingAfterBreak="0">
    <w:nsid w:val="40373AFD"/>
    <w:multiLevelType w:val="multilevel"/>
    <w:tmpl w:val="40373AFD"/>
    <w:lvl w:ilvl="0">
      <w:start w:val="7"/>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285047624">
    <w:abstractNumId w:val="3"/>
  </w:num>
  <w:num w:numId="2" w16cid:durableId="614100057">
    <w:abstractNumId w:val="1"/>
  </w:num>
  <w:num w:numId="3" w16cid:durableId="1597132875">
    <w:abstractNumId w:val="2"/>
  </w:num>
  <w:num w:numId="4" w16cid:durableId="640503483">
    <w:abstractNumId w:val="8"/>
  </w:num>
  <w:num w:numId="5" w16cid:durableId="2129739792">
    <w:abstractNumId w:val="6"/>
  </w:num>
  <w:num w:numId="6" w16cid:durableId="523598851">
    <w:abstractNumId w:val="0"/>
  </w:num>
  <w:num w:numId="7" w16cid:durableId="664019472">
    <w:abstractNumId w:val="4"/>
  </w:num>
  <w:num w:numId="8" w16cid:durableId="1539663516">
    <w:abstractNumId w:val="9"/>
  </w:num>
  <w:num w:numId="9" w16cid:durableId="1469787452">
    <w:abstractNumId w:val="7"/>
  </w:num>
  <w:num w:numId="10" w16cid:durableId="1321033085">
    <w:abstractNumId w:val="5"/>
  </w:num>
  <w:num w:numId="11" w16cid:durableId="100224763">
    <w:abstractNumId w:val="10"/>
  </w:num>
  <w:num w:numId="12" w16cid:durableId="13160554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noPunctuationKerning/>
  <w:characterSpacingControl w:val="doNotCompress"/>
  <w:footnotePr>
    <w:pos w:val="beneathText"/>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241F"/>
    <w:rsid w:val="0001450B"/>
    <w:rsid w:val="00023207"/>
    <w:rsid w:val="00043FD8"/>
    <w:rsid w:val="0004528E"/>
    <w:rsid w:val="000509F3"/>
    <w:rsid w:val="00051598"/>
    <w:rsid w:val="00060A63"/>
    <w:rsid w:val="00066E41"/>
    <w:rsid w:val="00067B0F"/>
    <w:rsid w:val="00076C0D"/>
    <w:rsid w:val="00077307"/>
    <w:rsid w:val="00080ECE"/>
    <w:rsid w:val="00083B82"/>
    <w:rsid w:val="000931A1"/>
    <w:rsid w:val="000A41FF"/>
    <w:rsid w:val="000B7A3E"/>
    <w:rsid w:val="000D0967"/>
    <w:rsid w:val="000D3044"/>
    <w:rsid w:val="000D3574"/>
    <w:rsid w:val="000D3F41"/>
    <w:rsid w:val="000E2215"/>
    <w:rsid w:val="000E2B60"/>
    <w:rsid w:val="00106361"/>
    <w:rsid w:val="00106C83"/>
    <w:rsid w:val="00131A2A"/>
    <w:rsid w:val="00131A8E"/>
    <w:rsid w:val="00132907"/>
    <w:rsid w:val="00137C09"/>
    <w:rsid w:val="00141B39"/>
    <w:rsid w:val="00143645"/>
    <w:rsid w:val="001444AA"/>
    <w:rsid w:val="001538E9"/>
    <w:rsid w:val="00155B42"/>
    <w:rsid w:val="0016443A"/>
    <w:rsid w:val="00180D4A"/>
    <w:rsid w:val="001811C1"/>
    <w:rsid w:val="00194FA6"/>
    <w:rsid w:val="00197348"/>
    <w:rsid w:val="001B0BF2"/>
    <w:rsid w:val="001B3C10"/>
    <w:rsid w:val="001B7410"/>
    <w:rsid w:val="001C51E6"/>
    <w:rsid w:val="001D2CA9"/>
    <w:rsid w:val="001D4E71"/>
    <w:rsid w:val="001D51CC"/>
    <w:rsid w:val="001D7403"/>
    <w:rsid w:val="001E5B84"/>
    <w:rsid w:val="001F0E6B"/>
    <w:rsid w:val="001F2A6F"/>
    <w:rsid w:val="001F3185"/>
    <w:rsid w:val="00203928"/>
    <w:rsid w:val="00207676"/>
    <w:rsid w:val="00207D1C"/>
    <w:rsid w:val="0021044B"/>
    <w:rsid w:val="0021452C"/>
    <w:rsid w:val="00214885"/>
    <w:rsid w:val="002224DD"/>
    <w:rsid w:val="00224D33"/>
    <w:rsid w:val="00224E26"/>
    <w:rsid w:val="002270CA"/>
    <w:rsid w:val="002471F7"/>
    <w:rsid w:val="0025155E"/>
    <w:rsid w:val="00262113"/>
    <w:rsid w:val="002709AD"/>
    <w:rsid w:val="0027610C"/>
    <w:rsid w:val="00284C2A"/>
    <w:rsid w:val="00291384"/>
    <w:rsid w:val="002928A7"/>
    <w:rsid w:val="002928F8"/>
    <w:rsid w:val="00295BEF"/>
    <w:rsid w:val="002A5368"/>
    <w:rsid w:val="002A6639"/>
    <w:rsid w:val="002B0C01"/>
    <w:rsid w:val="002B1DBA"/>
    <w:rsid w:val="002B5D18"/>
    <w:rsid w:val="002C6944"/>
    <w:rsid w:val="002D73A7"/>
    <w:rsid w:val="002E7399"/>
    <w:rsid w:val="002F1058"/>
    <w:rsid w:val="002F2F2F"/>
    <w:rsid w:val="00302657"/>
    <w:rsid w:val="00302782"/>
    <w:rsid w:val="00313A6E"/>
    <w:rsid w:val="00321D1F"/>
    <w:rsid w:val="00322FC6"/>
    <w:rsid w:val="003235AD"/>
    <w:rsid w:val="00324552"/>
    <w:rsid w:val="003268FA"/>
    <w:rsid w:val="00332DD6"/>
    <w:rsid w:val="00333E1C"/>
    <w:rsid w:val="00333F9D"/>
    <w:rsid w:val="00334D2D"/>
    <w:rsid w:val="00335F52"/>
    <w:rsid w:val="00336D6F"/>
    <w:rsid w:val="00340FB8"/>
    <w:rsid w:val="00343840"/>
    <w:rsid w:val="00345749"/>
    <w:rsid w:val="00346036"/>
    <w:rsid w:val="00350254"/>
    <w:rsid w:val="003535B9"/>
    <w:rsid w:val="00354C56"/>
    <w:rsid w:val="00355DCA"/>
    <w:rsid w:val="00363979"/>
    <w:rsid w:val="0036648B"/>
    <w:rsid w:val="003675BA"/>
    <w:rsid w:val="00374559"/>
    <w:rsid w:val="00376FCD"/>
    <w:rsid w:val="003826B4"/>
    <w:rsid w:val="0038326C"/>
    <w:rsid w:val="00385518"/>
    <w:rsid w:val="003A50CC"/>
    <w:rsid w:val="003B2C88"/>
    <w:rsid w:val="003B3118"/>
    <w:rsid w:val="003B4F42"/>
    <w:rsid w:val="003C72D8"/>
    <w:rsid w:val="003D4FD8"/>
    <w:rsid w:val="003D63E7"/>
    <w:rsid w:val="003E29A6"/>
    <w:rsid w:val="003E2BE1"/>
    <w:rsid w:val="003E700C"/>
    <w:rsid w:val="003F1A51"/>
    <w:rsid w:val="003F259B"/>
    <w:rsid w:val="003F4354"/>
    <w:rsid w:val="004156DA"/>
    <w:rsid w:val="004162CB"/>
    <w:rsid w:val="004172E8"/>
    <w:rsid w:val="00417BFF"/>
    <w:rsid w:val="0042151F"/>
    <w:rsid w:val="00423308"/>
    <w:rsid w:val="0042606D"/>
    <w:rsid w:val="004278B5"/>
    <w:rsid w:val="00433DEC"/>
    <w:rsid w:val="00435ADE"/>
    <w:rsid w:val="00437FDD"/>
    <w:rsid w:val="004472DC"/>
    <w:rsid w:val="004621F1"/>
    <w:rsid w:val="00462DC3"/>
    <w:rsid w:val="00464808"/>
    <w:rsid w:val="00473A27"/>
    <w:rsid w:val="004756FE"/>
    <w:rsid w:val="00476236"/>
    <w:rsid w:val="00477357"/>
    <w:rsid w:val="0048331F"/>
    <w:rsid w:val="00497B85"/>
    <w:rsid w:val="004A425F"/>
    <w:rsid w:val="004A4682"/>
    <w:rsid w:val="004A6D19"/>
    <w:rsid w:val="004B0A6D"/>
    <w:rsid w:val="004B64EC"/>
    <w:rsid w:val="004B6C5C"/>
    <w:rsid w:val="004C117E"/>
    <w:rsid w:val="004D1943"/>
    <w:rsid w:val="004E0586"/>
    <w:rsid w:val="004E5280"/>
    <w:rsid w:val="004F0D2F"/>
    <w:rsid w:val="004F54CF"/>
    <w:rsid w:val="004F57A6"/>
    <w:rsid w:val="00500362"/>
    <w:rsid w:val="005017D8"/>
    <w:rsid w:val="00511AB0"/>
    <w:rsid w:val="0051566D"/>
    <w:rsid w:val="005207F5"/>
    <w:rsid w:val="00524F2E"/>
    <w:rsid w:val="005257D9"/>
    <w:rsid w:val="00530951"/>
    <w:rsid w:val="005347FD"/>
    <w:rsid w:val="00543D84"/>
    <w:rsid w:val="00551A02"/>
    <w:rsid w:val="005534FA"/>
    <w:rsid w:val="005540EB"/>
    <w:rsid w:val="00554A89"/>
    <w:rsid w:val="00555125"/>
    <w:rsid w:val="00557399"/>
    <w:rsid w:val="0056137B"/>
    <w:rsid w:val="005643EB"/>
    <w:rsid w:val="005662CE"/>
    <w:rsid w:val="00571812"/>
    <w:rsid w:val="005737C0"/>
    <w:rsid w:val="00585B16"/>
    <w:rsid w:val="00590735"/>
    <w:rsid w:val="00592BB7"/>
    <w:rsid w:val="00596E64"/>
    <w:rsid w:val="00597823"/>
    <w:rsid w:val="00597859"/>
    <w:rsid w:val="005A3FFB"/>
    <w:rsid w:val="005A6A11"/>
    <w:rsid w:val="005B5A01"/>
    <w:rsid w:val="005B5E5D"/>
    <w:rsid w:val="005B5FA1"/>
    <w:rsid w:val="005B62B8"/>
    <w:rsid w:val="005C7E21"/>
    <w:rsid w:val="005D0959"/>
    <w:rsid w:val="005D2AED"/>
    <w:rsid w:val="005D3A03"/>
    <w:rsid w:val="005D55B7"/>
    <w:rsid w:val="005D7CD7"/>
    <w:rsid w:val="005D7FA8"/>
    <w:rsid w:val="005E1139"/>
    <w:rsid w:val="005E2C12"/>
    <w:rsid w:val="005E32D1"/>
    <w:rsid w:val="005E57AD"/>
    <w:rsid w:val="005E719A"/>
    <w:rsid w:val="005F4DCC"/>
    <w:rsid w:val="005F7893"/>
    <w:rsid w:val="00606384"/>
    <w:rsid w:val="00624D90"/>
    <w:rsid w:val="00625F6C"/>
    <w:rsid w:val="006334AF"/>
    <w:rsid w:val="00634FC1"/>
    <w:rsid w:val="006416C7"/>
    <w:rsid w:val="00642D71"/>
    <w:rsid w:val="00646656"/>
    <w:rsid w:val="00663FCE"/>
    <w:rsid w:val="00667B5C"/>
    <w:rsid w:val="0067631B"/>
    <w:rsid w:val="00681AB5"/>
    <w:rsid w:val="0068528B"/>
    <w:rsid w:val="00685CFC"/>
    <w:rsid w:val="0068764F"/>
    <w:rsid w:val="00696C25"/>
    <w:rsid w:val="00697863"/>
    <w:rsid w:val="00697A31"/>
    <w:rsid w:val="006A2DF2"/>
    <w:rsid w:val="006A3E38"/>
    <w:rsid w:val="006A43C1"/>
    <w:rsid w:val="006B2399"/>
    <w:rsid w:val="006B28DA"/>
    <w:rsid w:val="006B6853"/>
    <w:rsid w:val="006C06CE"/>
    <w:rsid w:val="006C22C9"/>
    <w:rsid w:val="006C333A"/>
    <w:rsid w:val="006C74B8"/>
    <w:rsid w:val="006D730A"/>
    <w:rsid w:val="006D7B27"/>
    <w:rsid w:val="006E448E"/>
    <w:rsid w:val="006E64EF"/>
    <w:rsid w:val="006F1522"/>
    <w:rsid w:val="006F47BA"/>
    <w:rsid w:val="006F4F03"/>
    <w:rsid w:val="00702886"/>
    <w:rsid w:val="00702C75"/>
    <w:rsid w:val="007036C3"/>
    <w:rsid w:val="00724433"/>
    <w:rsid w:val="007255B5"/>
    <w:rsid w:val="00727A88"/>
    <w:rsid w:val="00732D85"/>
    <w:rsid w:val="007427AD"/>
    <w:rsid w:val="0074449B"/>
    <w:rsid w:val="00745B73"/>
    <w:rsid w:val="0075011A"/>
    <w:rsid w:val="00750DB1"/>
    <w:rsid w:val="0075123D"/>
    <w:rsid w:val="007572D4"/>
    <w:rsid w:val="00762492"/>
    <w:rsid w:val="00764F56"/>
    <w:rsid w:val="00765571"/>
    <w:rsid w:val="007718CB"/>
    <w:rsid w:val="007726F8"/>
    <w:rsid w:val="007772A0"/>
    <w:rsid w:val="00780E7F"/>
    <w:rsid w:val="00785D8B"/>
    <w:rsid w:val="0078784B"/>
    <w:rsid w:val="007903F4"/>
    <w:rsid w:val="00795174"/>
    <w:rsid w:val="00796CC0"/>
    <w:rsid w:val="007A743D"/>
    <w:rsid w:val="007B1677"/>
    <w:rsid w:val="007B4508"/>
    <w:rsid w:val="007B5667"/>
    <w:rsid w:val="007B77DF"/>
    <w:rsid w:val="007C471C"/>
    <w:rsid w:val="007C7612"/>
    <w:rsid w:val="007D2693"/>
    <w:rsid w:val="007D36CF"/>
    <w:rsid w:val="007D3B5C"/>
    <w:rsid w:val="007D403B"/>
    <w:rsid w:val="007D5856"/>
    <w:rsid w:val="007E3975"/>
    <w:rsid w:val="007E4A95"/>
    <w:rsid w:val="007F4175"/>
    <w:rsid w:val="007F4DE8"/>
    <w:rsid w:val="007F4F5F"/>
    <w:rsid w:val="008002C0"/>
    <w:rsid w:val="00805C30"/>
    <w:rsid w:val="008066F0"/>
    <w:rsid w:val="008139D5"/>
    <w:rsid w:val="00815794"/>
    <w:rsid w:val="00823A5B"/>
    <w:rsid w:val="00823B54"/>
    <w:rsid w:val="00823DE5"/>
    <w:rsid w:val="00824774"/>
    <w:rsid w:val="0082566F"/>
    <w:rsid w:val="008275FD"/>
    <w:rsid w:val="00834EA0"/>
    <w:rsid w:val="00836F26"/>
    <w:rsid w:val="00840632"/>
    <w:rsid w:val="00842276"/>
    <w:rsid w:val="0084229E"/>
    <w:rsid w:val="00843F7B"/>
    <w:rsid w:val="00845B1A"/>
    <w:rsid w:val="00857B3A"/>
    <w:rsid w:val="00884389"/>
    <w:rsid w:val="00884F6B"/>
    <w:rsid w:val="00886DAE"/>
    <w:rsid w:val="00892FFE"/>
    <w:rsid w:val="008931CA"/>
    <w:rsid w:val="008A5C1C"/>
    <w:rsid w:val="008C2B76"/>
    <w:rsid w:val="008C5323"/>
    <w:rsid w:val="008C74E2"/>
    <w:rsid w:val="008D1A9C"/>
    <w:rsid w:val="008D3339"/>
    <w:rsid w:val="008D395E"/>
    <w:rsid w:val="008D774C"/>
    <w:rsid w:val="008E150E"/>
    <w:rsid w:val="008E2D9F"/>
    <w:rsid w:val="008E4494"/>
    <w:rsid w:val="008E505B"/>
    <w:rsid w:val="008E599E"/>
    <w:rsid w:val="008F3B83"/>
    <w:rsid w:val="008F75DF"/>
    <w:rsid w:val="00900FD7"/>
    <w:rsid w:val="00901713"/>
    <w:rsid w:val="0090539E"/>
    <w:rsid w:val="00906040"/>
    <w:rsid w:val="00912212"/>
    <w:rsid w:val="00912514"/>
    <w:rsid w:val="009238B9"/>
    <w:rsid w:val="009248EE"/>
    <w:rsid w:val="00925F40"/>
    <w:rsid w:val="00931FEC"/>
    <w:rsid w:val="00933125"/>
    <w:rsid w:val="00935159"/>
    <w:rsid w:val="00935EF3"/>
    <w:rsid w:val="009371C0"/>
    <w:rsid w:val="00945679"/>
    <w:rsid w:val="00953CCC"/>
    <w:rsid w:val="00955A06"/>
    <w:rsid w:val="009618EF"/>
    <w:rsid w:val="009735F0"/>
    <w:rsid w:val="00975296"/>
    <w:rsid w:val="0098198E"/>
    <w:rsid w:val="009824C0"/>
    <w:rsid w:val="00990013"/>
    <w:rsid w:val="00991E0E"/>
    <w:rsid w:val="00991FD3"/>
    <w:rsid w:val="00994741"/>
    <w:rsid w:val="009A1B6D"/>
    <w:rsid w:val="009A5766"/>
    <w:rsid w:val="009A6A3B"/>
    <w:rsid w:val="009A7C78"/>
    <w:rsid w:val="009B2312"/>
    <w:rsid w:val="009B2FCF"/>
    <w:rsid w:val="009B3918"/>
    <w:rsid w:val="009C1346"/>
    <w:rsid w:val="009C1FF8"/>
    <w:rsid w:val="009C6E52"/>
    <w:rsid w:val="009C793A"/>
    <w:rsid w:val="009D0879"/>
    <w:rsid w:val="009D1AAA"/>
    <w:rsid w:val="009D4929"/>
    <w:rsid w:val="009D499D"/>
    <w:rsid w:val="009D4D89"/>
    <w:rsid w:val="009D6808"/>
    <w:rsid w:val="009E0D3F"/>
    <w:rsid w:val="009E31BD"/>
    <w:rsid w:val="009E6320"/>
    <w:rsid w:val="009F34F0"/>
    <w:rsid w:val="00A00E5D"/>
    <w:rsid w:val="00A21A4A"/>
    <w:rsid w:val="00A22351"/>
    <w:rsid w:val="00A4497F"/>
    <w:rsid w:val="00A46E20"/>
    <w:rsid w:val="00A53252"/>
    <w:rsid w:val="00A55E41"/>
    <w:rsid w:val="00A570B0"/>
    <w:rsid w:val="00A6453B"/>
    <w:rsid w:val="00A650A4"/>
    <w:rsid w:val="00A70F22"/>
    <w:rsid w:val="00A739D1"/>
    <w:rsid w:val="00A82A39"/>
    <w:rsid w:val="00A82DBB"/>
    <w:rsid w:val="00A94ACE"/>
    <w:rsid w:val="00A96EBD"/>
    <w:rsid w:val="00A975A7"/>
    <w:rsid w:val="00AB1E8A"/>
    <w:rsid w:val="00AB3F8A"/>
    <w:rsid w:val="00AC2A33"/>
    <w:rsid w:val="00AC4392"/>
    <w:rsid w:val="00AC5365"/>
    <w:rsid w:val="00AC56DA"/>
    <w:rsid w:val="00AC5830"/>
    <w:rsid w:val="00AD0FA8"/>
    <w:rsid w:val="00AD2F6C"/>
    <w:rsid w:val="00AE711E"/>
    <w:rsid w:val="00AF095B"/>
    <w:rsid w:val="00AF2DF6"/>
    <w:rsid w:val="00B01DA8"/>
    <w:rsid w:val="00B02FBC"/>
    <w:rsid w:val="00B04858"/>
    <w:rsid w:val="00B053F6"/>
    <w:rsid w:val="00B07E6A"/>
    <w:rsid w:val="00B13D4A"/>
    <w:rsid w:val="00B21615"/>
    <w:rsid w:val="00B21817"/>
    <w:rsid w:val="00B22611"/>
    <w:rsid w:val="00B231C8"/>
    <w:rsid w:val="00B279AC"/>
    <w:rsid w:val="00B31591"/>
    <w:rsid w:val="00B35269"/>
    <w:rsid w:val="00B40CAC"/>
    <w:rsid w:val="00B430AC"/>
    <w:rsid w:val="00B50C5D"/>
    <w:rsid w:val="00B51F63"/>
    <w:rsid w:val="00B52222"/>
    <w:rsid w:val="00B60414"/>
    <w:rsid w:val="00B60D7C"/>
    <w:rsid w:val="00B677EF"/>
    <w:rsid w:val="00B70522"/>
    <w:rsid w:val="00B73245"/>
    <w:rsid w:val="00B823AA"/>
    <w:rsid w:val="00B859D7"/>
    <w:rsid w:val="00B87CEE"/>
    <w:rsid w:val="00B9317A"/>
    <w:rsid w:val="00B9359E"/>
    <w:rsid w:val="00BA09BB"/>
    <w:rsid w:val="00BA45DB"/>
    <w:rsid w:val="00BB27AF"/>
    <w:rsid w:val="00BC2303"/>
    <w:rsid w:val="00BD4B93"/>
    <w:rsid w:val="00BE311B"/>
    <w:rsid w:val="00BE70E2"/>
    <w:rsid w:val="00BF4184"/>
    <w:rsid w:val="00BF61EB"/>
    <w:rsid w:val="00BF69AA"/>
    <w:rsid w:val="00C0241F"/>
    <w:rsid w:val="00C0601E"/>
    <w:rsid w:val="00C0778A"/>
    <w:rsid w:val="00C16361"/>
    <w:rsid w:val="00C26E60"/>
    <w:rsid w:val="00C30D1B"/>
    <w:rsid w:val="00C31D30"/>
    <w:rsid w:val="00C37349"/>
    <w:rsid w:val="00C4113B"/>
    <w:rsid w:val="00C43E3F"/>
    <w:rsid w:val="00C52CC4"/>
    <w:rsid w:val="00C535D5"/>
    <w:rsid w:val="00C54634"/>
    <w:rsid w:val="00C635E7"/>
    <w:rsid w:val="00C64425"/>
    <w:rsid w:val="00C661AD"/>
    <w:rsid w:val="00C759F9"/>
    <w:rsid w:val="00C8356C"/>
    <w:rsid w:val="00C84AF4"/>
    <w:rsid w:val="00C86B59"/>
    <w:rsid w:val="00C873A1"/>
    <w:rsid w:val="00C977AD"/>
    <w:rsid w:val="00CA1638"/>
    <w:rsid w:val="00CA32D0"/>
    <w:rsid w:val="00CB12F8"/>
    <w:rsid w:val="00CB4A4F"/>
    <w:rsid w:val="00CB5ECD"/>
    <w:rsid w:val="00CD6E39"/>
    <w:rsid w:val="00CE5565"/>
    <w:rsid w:val="00CE5792"/>
    <w:rsid w:val="00CE6C1D"/>
    <w:rsid w:val="00CF43BD"/>
    <w:rsid w:val="00CF6E91"/>
    <w:rsid w:val="00D038FE"/>
    <w:rsid w:val="00D04A35"/>
    <w:rsid w:val="00D065BC"/>
    <w:rsid w:val="00D11641"/>
    <w:rsid w:val="00D1290A"/>
    <w:rsid w:val="00D13685"/>
    <w:rsid w:val="00D14FD2"/>
    <w:rsid w:val="00D1504E"/>
    <w:rsid w:val="00D2279A"/>
    <w:rsid w:val="00D23F61"/>
    <w:rsid w:val="00D24242"/>
    <w:rsid w:val="00D25351"/>
    <w:rsid w:val="00D279C6"/>
    <w:rsid w:val="00D3303C"/>
    <w:rsid w:val="00D43355"/>
    <w:rsid w:val="00D47D32"/>
    <w:rsid w:val="00D50FB3"/>
    <w:rsid w:val="00D55E37"/>
    <w:rsid w:val="00D5752B"/>
    <w:rsid w:val="00D66EB7"/>
    <w:rsid w:val="00D71AEA"/>
    <w:rsid w:val="00D71FE0"/>
    <w:rsid w:val="00D75DF0"/>
    <w:rsid w:val="00D838A4"/>
    <w:rsid w:val="00D85B68"/>
    <w:rsid w:val="00D86C78"/>
    <w:rsid w:val="00D95564"/>
    <w:rsid w:val="00D97F5C"/>
    <w:rsid w:val="00DA58B1"/>
    <w:rsid w:val="00DA7616"/>
    <w:rsid w:val="00DB20FE"/>
    <w:rsid w:val="00DB59CC"/>
    <w:rsid w:val="00DC7630"/>
    <w:rsid w:val="00DD33B8"/>
    <w:rsid w:val="00DD4101"/>
    <w:rsid w:val="00DD54B4"/>
    <w:rsid w:val="00DE005B"/>
    <w:rsid w:val="00DE7BE2"/>
    <w:rsid w:val="00DF192A"/>
    <w:rsid w:val="00DF3FDE"/>
    <w:rsid w:val="00E066DF"/>
    <w:rsid w:val="00E0759A"/>
    <w:rsid w:val="00E10E96"/>
    <w:rsid w:val="00E117A5"/>
    <w:rsid w:val="00E16C84"/>
    <w:rsid w:val="00E16F8E"/>
    <w:rsid w:val="00E20906"/>
    <w:rsid w:val="00E309CF"/>
    <w:rsid w:val="00E31EC1"/>
    <w:rsid w:val="00E34077"/>
    <w:rsid w:val="00E3428B"/>
    <w:rsid w:val="00E4669C"/>
    <w:rsid w:val="00E468D3"/>
    <w:rsid w:val="00E51E10"/>
    <w:rsid w:val="00E537E1"/>
    <w:rsid w:val="00E54ABD"/>
    <w:rsid w:val="00E6004D"/>
    <w:rsid w:val="00E71566"/>
    <w:rsid w:val="00E75E78"/>
    <w:rsid w:val="00E762CB"/>
    <w:rsid w:val="00E81978"/>
    <w:rsid w:val="00E83034"/>
    <w:rsid w:val="00E915AA"/>
    <w:rsid w:val="00E941F4"/>
    <w:rsid w:val="00EA17B0"/>
    <w:rsid w:val="00EB38BE"/>
    <w:rsid w:val="00EC460F"/>
    <w:rsid w:val="00EC7BF7"/>
    <w:rsid w:val="00ED39CC"/>
    <w:rsid w:val="00ED5E2C"/>
    <w:rsid w:val="00ED5F2D"/>
    <w:rsid w:val="00ED7431"/>
    <w:rsid w:val="00EE3D63"/>
    <w:rsid w:val="00EE5198"/>
    <w:rsid w:val="00EF1A14"/>
    <w:rsid w:val="00EF511E"/>
    <w:rsid w:val="00EF52D2"/>
    <w:rsid w:val="00EF7B0A"/>
    <w:rsid w:val="00F01E8A"/>
    <w:rsid w:val="00F02369"/>
    <w:rsid w:val="00F0270E"/>
    <w:rsid w:val="00F06FDD"/>
    <w:rsid w:val="00F07389"/>
    <w:rsid w:val="00F175FF"/>
    <w:rsid w:val="00F211A7"/>
    <w:rsid w:val="00F21AAF"/>
    <w:rsid w:val="00F31C21"/>
    <w:rsid w:val="00F32A34"/>
    <w:rsid w:val="00F367BA"/>
    <w:rsid w:val="00F379B7"/>
    <w:rsid w:val="00F37AE7"/>
    <w:rsid w:val="00F42BC5"/>
    <w:rsid w:val="00F45B90"/>
    <w:rsid w:val="00F478C1"/>
    <w:rsid w:val="00F50BD7"/>
    <w:rsid w:val="00F525FA"/>
    <w:rsid w:val="00F52BC9"/>
    <w:rsid w:val="00F576E1"/>
    <w:rsid w:val="00F675AF"/>
    <w:rsid w:val="00F8089D"/>
    <w:rsid w:val="00FA0F63"/>
    <w:rsid w:val="00FB3D08"/>
    <w:rsid w:val="00FC18B1"/>
    <w:rsid w:val="00FE2446"/>
    <w:rsid w:val="00FE2DB8"/>
    <w:rsid w:val="00FE428E"/>
    <w:rsid w:val="00FF2002"/>
    <w:rsid w:val="00FF2C3D"/>
    <w:rsid w:val="221C3DE1"/>
    <w:rsid w:val="35B355FF"/>
    <w:rsid w:val="4E0F4B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17FAFE"/>
  <w15:docId w15:val="{2F613679-12EE-4680-9A8E-6674097556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es-CO" w:eastAsia="es-CO" w:bidi="ar-SA"/>
      </w:rPr>
    </w:rPrDefault>
    <w:pPrDefault/>
  </w:docDefaults>
  <w:latentStyles w:defLockedState="0" w:defUIPriority="99" w:defSemiHidden="0" w:defUnhideWhenUsed="0" w:defQFormat="0" w:count="376">
    <w:lsdException w:name="Normal" w:uiPriority="0" w:qFormat="1"/>
    <w:lsdException w:name="heading 1" w:uiPriority="4" w:qFormat="1"/>
    <w:lsdException w:name="heading 2" w:uiPriority="4" w:unhideWhenUsed="1" w:qFormat="1"/>
    <w:lsdException w:name="heading 3" w:uiPriority="4" w:unhideWhenUsed="1" w:qFormat="1"/>
    <w:lsdException w:name="heading 4" w:uiPriority="4" w:unhideWhenUsed="1" w:qFormat="1"/>
    <w:lsdException w:name="heading 5" w:uiPriority="4" w:unhideWhenUsed="1"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qFormat="1"/>
    <w:lsdException w:name="index 2" w:semiHidden="1" w:unhideWhenUsed="1" w:qFormat="1"/>
    <w:lsdException w:name="index 3" w:semiHidden="1" w:unhideWhenUsed="1" w:qFormat="1"/>
    <w:lsdException w:name="index 4" w:semiHidden="1" w:unhideWhenUsed="1" w:qFormat="1"/>
    <w:lsdException w:name="index 5" w:semiHidden="1" w:unhideWhenUsed="1" w:qFormat="1"/>
    <w:lsdException w:name="index 6" w:semiHidden="1" w:unhideWhenUsed="1" w:qFormat="1"/>
    <w:lsdException w:name="index 7" w:semiHidden="1" w:unhideWhenUsed="1" w:qFormat="1"/>
    <w:lsdException w:name="index 8" w:semiHidden="1" w:unhideWhenUsed="1" w:qFormat="1"/>
    <w:lsdException w:name="index 9" w:semiHidden="1" w:unhideWhenUsed="1" w:qFormat="1"/>
    <w:lsdException w:name="toc 1" w:uiPriority="39" w:unhideWhenUsed="1" w:qFormat="1"/>
    <w:lsdException w:name="toc 2" w:uiPriority="39" w:unhideWhenUsed="1" w:qFormat="1"/>
    <w:lsdException w:name="toc 3"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qFormat="1"/>
    <w:lsdException w:name="footnote text" w:semiHidden="1" w:unhideWhenUsed="1" w:qFormat="1"/>
    <w:lsdException w:name="annotation text" w:unhideWhenUsed="1" w:qFormat="1"/>
    <w:lsdException w:name="header" w:unhideWhenUsed="1" w:qFormat="1"/>
    <w:lsdException w:name="footer" w:unhideWhenUsed="1" w:qFormat="1"/>
    <w:lsdException w:name="index heading" w:semiHidden="1" w:unhideWhenUsed="1" w:qFormat="1"/>
    <w:lsdException w:name="caption" w:uiPriority="35" w:unhideWhenUsed="1" w:qFormat="1"/>
    <w:lsdException w:name="table of figures" w:unhideWhenUsed="1" w:qFormat="1"/>
    <w:lsdException w:name="envelope address" w:semiHidden="1" w:unhideWhenUsed="1" w:qFormat="1"/>
    <w:lsdException w:name="envelope return" w:semiHidden="1" w:unhideWhenUsed="1" w:qFormat="1"/>
    <w:lsdException w:name="footnote reference" w:uiPriority="5"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qFormat="1"/>
    <w:lsdException w:name="endnote text" w:semiHidden="1" w:unhideWhenUsed="1" w:qFormat="1"/>
    <w:lsdException w:name="table of authorities" w:semiHidden="1" w:unhideWhenUsed="1" w:qFormat="1"/>
    <w:lsdException w:name="macro" w:semiHidden="1" w:unhideWhenUsed="1" w:qFormat="1"/>
    <w:lsdException w:name="toa heading" w:semiHidden="1" w:unhideWhenUsed="1" w:qFormat="1"/>
    <w:lsdException w:name="List" w:semiHidden="1" w:unhideWhenUsed="1" w:qFormat="1"/>
    <w:lsdException w:name="List Bullet" w:uiPriority="9" w:unhideWhenUsed="1" w:qFormat="1"/>
    <w:lsdException w:name="List Number" w:uiPriority="9" w:unhideWhenUsed="1" w:qFormat="1"/>
    <w:lsdException w:name="List 2" w:semiHidden="1" w:unhideWhenUsed="1" w:qFormat="1"/>
    <w:lsdException w:name="List 3" w:semiHidden="1" w:unhideWhenUsed="1" w:qFormat="1"/>
    <w:lsdException w:name="List 4" w:semiHidden="1" w:unhideWhenUsed="1" w:qFormat="1"/>
    <w:lsdException w:name="List 5" w:semiHidden="1" w:unhideWhenUsed="1" w:qFormat="1"/>
    <w:lsdException w:name="List Bullet 2" w:semiHidden="1" w:unhideWhenUsed="1" w:qFormat="1"/>
    <w:lsdException w:name="List Bullet 3" w:semiHidden="1" w:unhideWhenUsed="1" w:qFormat="1"/>
    <w:lsdException w:name="List Bullet 4" w:semiHidden="1" w:unhideWhenUsed="1" w:qFormat="1"/>
    <w:lsdException w:name="List Bullet 5" w:semiHidden="1" w:unhideWhenUsed="1" w:qFormat="1"/>
    <w:lsdException w:name="List Number 2" w:semiHidden="1" w:unhideWhenUsed="1" w:qFormat="1"/>
    <w:lsdException w:name="List Number 3" w:semiHidden="1" w:unhideWhenUsed="1" w:qFormat="1"/>
    <w:lsdException w:name="List Number 4" w:semiHidden="1" w:unhideWhenUsed="1" w:qFormat="1"/>
    <w:lsdException w:name="List Number 5" w:semiHidden="1" w:unhideWhenUsed="1" w:qFormat="1"/>
    <w:lsdException w:name="Title" w:uiPriority="0" w:qFormat="1"/>
    <w:lsdException w:name="Closing" w:semiHidden="1" w:unhideWhenUsed="1" w:qFormat="1"/>
    <w:lsdException w:name="Signature" w:semiHidden="1" w:unhideWhenUsed="1" w:qFormat="1"/>
    <w:lsdException w:name="Default Paragraph Font" w:semiHidden="1" w:uiPriority="1" w:unhideWhenUsed="1" w:qFormat="1"/>
    <w:lsdException w:name="Body Text" w:semiHidden="1" w:unhideWhenUsed="1" w:qFormat="1"/>
    <w:lsdException w:name="Body Text Indent" w:semiHidden="1" w:unhideWhenUsed="1" w:qFormat="1"/>
    <w:lsdException w:name="List Continue" w:semiHidden="1" w:unhideWhenUsed="1" w:qFormat="1"/>
    <w:lsdException w:name="List Continue 2" w:semiHidden="1" w:unhideWhenUsed="1" w:qFormat="1"/>
    <w:lsdException w:name="List Continue 3" w:semiHidden="1" w:unhideWhenUsed="1" w:qFormat="1"/>
    <w:lsdException w:name="List Continue 4" w:semiHidden="1" w:unhideWhenUsed="1" w:qFormat="1"/>
    <w:lsdException w:name="List Continue 5" w:semiHidden="1" w:unhideWhenUsed="1" w:qFormat="1"/>
    <w:lsdException w:name="Message Header" w:semiHidden="1" w:unhideWhenUsed="1" w:qFormat="1"/>
    <w:lsdException w:name="Subtitle" w:semiHidden="1" w:uiPriority="18" w:unhideWhenUsed="1" w:qFormat="1"/>
    <w:lsdException w:name="Salutation" w:semiHidden="1" w:unhideWhenUsed="1" w:qFormat="1"/>
    <w:lsdException w:name="Date" w:semiHidden="1" w:unhideWhenUsed="1" w:qFormat="1"/>
    <w:lsdException w:name="Body Text First Indent" w:semiHidden="1" w:unhideWhenUsed="1" w:qFormat="1"/>
    <w:lsdException w:name="Body Text First Indent 2" w:semiHidden="1" w:unhideWhenUsed="1" w:qFormat="1"/>
    <w:lsdException w:name="Note Heading" w:semiHidden="1" w:unhideWhenUsed="1" w:qFormat="1"/>
    <w:lsdException w:name="Body Text 2" w:semiHidden="1" w:unhideWhenUsed="1" w:qFormat="1"/>
    <w:lsdException w:name="Body Text 3" w:semiHidden="1" w:unhideWhenUsed="1"/>
    <w:lsdException w:name="Body Text Indent 2" w:semiHidden="1" w:unhideWhenUsed="1" w:qFormat="1"/>
    <w:lsdException w:name="Body Text Indent 3" w:semiHidden="1" w:unhideWhenUsed="1" w:qFormat="1"/>
    <w:lsdException w:name="Block Text" w:semiHidden="1" w:unhideWhenUsed="1"/>
    <w:lsdException w:name="Hyperlink" w:unhideWhenUsed="1" w:qFormat="1"/>
    <w:lsdException w:name="FollowedHyperlink" w:semiHidden="1" w:unhideWhenUsed="1" w:qFormat="1"/>
    <w:lsdException w:name="Strong" w:uiPriority="22" w:unhideWhenUsed="1" w:qFormat="1"/>
    <w:lsdException w:name="Emphasis" w:uiPriority="20" w:unhideWhenUsed="1" w:qFormat="1"/>
    <w:lsdException w:name="Document Map" w:semiHidden="1" w:unhideWhenUsed="1" w:qFormat="1"/>
    <w:lsdException w:name="Plain Text" w:semiHidden="1" w:unhideWhenUsed="1" w:qFormat="1"/>
    <w:lsdException w:name="E-mail Signature" w:semiHidden="1" w:unhideWhenUsed="1" w:qFormat="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qFormat="1"/>
    <w:lsdException w:name="HTML Cite" w:semiHidden="1" w:unhideWhenUsed="1"/>
    <w:lsdException w:name="HTML Code" w:semiHidden="1" w:unhideWhenUsed="1" w:qFormat="1"/>
    <w:lsdException w:name="HTML Definition" w:semiHidden="1" w:unhideWhenUsed="1"/>
    <w:lsdException w:name="HTML Keyboard" w:semiHidden="1" w:unhideWhenUsed="1" w:qFormat="1"/>
    <w:lsdException w:name="HTML Preformatted" w:semiHidden="1" w:unhideWhenUsed="1" w:qFormat="1"/>
    <w:lsdException w:name="HTML Sample" w:semiHidden="1" w:unhideWhenUsed="1"/>
    <w:lsdException w:name="HTML Typewriter" w:semiHidden="1" w:unhideWhenUsed="1" w:qFormat="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qFormat="1"/>
    <w:lsdException w:name="No Spacing" w:uiPriority="3"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uiPriority="34" w:unhideWhenUsed="1" w:qFormat="1"/>
    <w:lsdException w:name="Quote" w:semiHidden="1" w:uiPriority="29" w:unhideWhenUsed="1" w:qFormat="1"/>
    <w:lsdException w:name="Intense Quote" w:semiHidden="1" w:uiPriority="30" w:unhideWhenUsed="1"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480" w:lineRule="auto"/>
      <w:ind w:firstLine="720"/>
    </w:pPr>
    <w:rPr>
      <w:rFonts w:asciiTheme="minorHAnsi" w:eastAsiaTheme="minorEastAsia" w:hAnsiTheme="minorHAnsi" w:cstheme="minorBidi"/>
      <w:kern w:val="24"/>
      <w:sz w:val="24"/>
      <w:szCs w:val="24"/>
      <w:lang w:eastAsia="ja-JP"/>
    </w:rPr>
  </w:style>
  <w:style w:type="paragraph" w:styleId="Ttulo1">
    <w:name w:val="heading 1"/>
    <w:basedOn w:val="Normal"/>
    <w:next w:val="Normal"/>
    <w:link w:val="Ttulo1Car"/>
    <w:uiPriority w:val="4"/>
    <w:qFormat/>
    <w:pPr>
      <w:keepNext/>
      <w:keepLines/>
      <w:ind w:firstLine="0"/>
      <w:jc w:val="center"/>
      <w:outlineLvl w:val="0"/>
    </w:pPr>
    <w:rPr>
      <w:rFonts w:asciiTheme="majorHAnsi" w:eastAsiaTheme="majorEastAsia" w:hAnsiTheme="majorHAnsi" w:cstheme="majorBidi"/>
      <w:b/>
      <w:bCs/>
    </w:rPr>
  </w:style>
  <w:style w:type="paragraph" w:styleId="Ttulo2">
    <w:name w:val="heading 2"/>
    <w:basedOn w:val="Normal"/>
    <w:next w:val="Normal"/>
    <w:link w:val="Ttulo2Car"/>
    <w:uiPriority w:val="4"/>
    <w:unhideWhenUsed/>
    <w:qFormat/>
    <w:pPr>
      <w:keepNext/>
      <w:keepLines/>
      <w:ind w:firstLine="0"/>
      <w:outlineLvl w:val="1"/>
    </w:pPr>
    <w:rPr>
      <w:rFonts w:asciiTheme="majorHAnsi" w:eastAsiaTheme="majorEastAsia" w:hAnsiTheme="majorHAnsi" w:cstheme="majorBidi"/>
      <w:b/>
      <w:bCs/>
    </w:rPr>
  </w:style>
  <w:style w:type="paragraph" w:styleId="Ttulo3">
    <w:name w:val="heading 3"/>
    <w:basedOn w:val="Normal"/>
    <w:next w:val="Normal"/>
    <w:link w:val="Ttulo3Car"/>
    <w:uiPriority w:val="4"/>
    <w:unhideWhenUsed/>
    <w:qFormat/>
    <w:pPr>
      <w:keepNext/>
      <w:keepLines/>
      <w:outlineLvl w:val="2"/>
    </w:pPr>
    <w:rPr>
      <w:rFonts w:asciiTheme="majorHAnsi" w:eastAsiaTheme="majorEastAsia" w:hAnsiTheme="majorHAnsi" w:cstheme="majorBidi"/>
      <w:b/>
      <w:bCs/>
    </w:rPr>
  </w:style>
  <w:style w:type="paragraph" w:styleId="Ttulo4">
    <w:name w:val="heading 4"/>
    <w:basedOn w:val="Normal"/>
    <w:next w:val="Normal"/>
    <w:link w:val="Ttulo4Car"/>
    <w:uiPriority w:val="4"/>
    <w:unhideWhenUsed/>
    <w:qFormat/>
    <w:pPr>
      <w:keepNext/>
      <w:keepLines/>
      <w:outlineLvl w:val="3"/>
    </w:pPr>
    <w:rPr>
      <w:rFonts w:asciiTheme="majorHAnsi" w:eastAsiaTheme="majorEastAsia" w:hAnsiTheme="majorHAnsi" w:cstheme="majorBidi"/>
      <w:b/>
      <w:bCs/>
      <w:i/>
      <w:iCs/>
    </w:rPr>
  </w:style>
  <w:style w:type="paragraph" w:styleId="Ttulo5">
    <w:name w:val="heading 5"/>
    <w:basedOn w:val="Normal"/>
    <w:next w:val="Normal"/>
    <w:link w:val="Ttulo5Car"/>
    <w:uiPriority w:val="4"/>
    <w:unhideWhenUsed/>
    <w:qFormat/>
    <w:pPr>
      <w:keepNext/>
      <w:keepLines/>
      <w:outlineLvl w:val="4"/>
    </w:pPr>
    <w:rPr>
      <w:rFonts w:asciiTheme="majorHAnsi" w:eastAsiaTheme="majorEastAsia" w:hAnsiTheme="majorHAnsi" w:cstheme="majorBidi"/>
      <w:i/>
      <w:iCs/>
    </w:rPr>
  </w:style>
  <w:style w:type="paragraph" w:styleId="Ttulo6">
    <w:name w:val="heading 6"/>
    <w:basedOn w:val="Normal"/>
    <w:next w:val="Normal"/>
    <w:link w:val="Ttulo6Car"/>
    <w:uiPriority w:val="9"/>
    <w:semiHidden/>
    <w:qFormat/>
    <w:pPr>
      <w:keepNext/>
      <w:keepLines/>
      <w:spacing w:before="40"/>
      <w:ind w:firstLine="0"/>
      <w:outlineLvl w:val="5"/>
    </w:pPr>
    <w:rPr>
      <w:rFonts w:asciiTheme="majorHAnsi" w:eastAsiaTheme="majorEastAsia" w:hAnsiTheme="majorHAnsi" w:cstheme="majorBidi"/>
      <w:color w:val="6E6E6E" w:themeColor="accent1" w:themeShade="80"/>
    </w:rPr>
  </w:style>
  <w:style w:type="paragraph" w:styleId="Ttulo7">
    <w:name w:val="heading 7"/>
    <w:basedOn w:val="Normal"/>
    <w:next w:val="Normal"/>
    <w:link w:val="Ttulo7Car"/>
    <w:uiPriority w:val="9"/>
    <w:semiHidden/>
    <w:qFormat/>
    <w:pPr>
      <w:keepNext/>
      <w:keepLines/>
      <w:spacing w:before="40"/>
      <w:ind w:firstLine="0"/>
      <w:outlineLvl w:val="6"/>
    </w:pPr>
    <w:rPr>
      <w:rFonts w:asciiTheme="majorHAnsi" w:eastAsiaTheme="majorEastAsia" w:hAnsiTheme="majorHAnsi" w:cstheme="majorBidi"/>
      <w:i/>
      <w:iCs/>
      <w:color w:val="6E6E6E" w:themeColor="accent1" w:themeShade="80"/>
    </w:rPr>
  </w:style>
  <w:style w:type="paragraph" w:styleId="Ttulo8">
    <w:name w:val="heading 8"/>
    <w:basedOn w:val="Normal"/>
    <w:next w:val="Normal"/>
    <w:link w:val="Ttulo8Car"/>
    <w:uiPriority w:val="9"/>
    <w:semiHidden/>
    <w:qFormat/>
    <w:pPr>
      <w:keepNext/>
      <w:keepLines/>
      <w:spacing w:before="40"/>
      <w:ind w:firstLine="0"/>
      <w:outlineLvl w:val="7"/>
    </w:pPr>
    <w:rPr>
      <w:rFonts w:asciiTheme="majorHAnsi" w:eastAsiaTheme="majorEastAsia" w:hAnsiTheme="majorHAnsi" w:cstheme="majorBidi"/>
      <w:color w:val="262626" w:themeColor="text1" w:themeTint="D9"/>
      <w:sz w:val="22"/>
      <w:szCs w:val="21"/>
    </w:rPr>
  </w:style>
  <w:style w:type="paragraph" w:styleId="Ttulo9">
    <w:name w:val="heading 9"/>
    <w:basedOn w:val="Normal"/>
    <w:next w:val="Normal"/>
    <w:link w:val="Ttulo9Car"/>
    <w:uiPriority w:val="9"/>
    <w:semiHidden/>
    <w:qFormat/>
    <w:pPr>
      <w:keepNext/>
      <w:keepLines/>
      <w:spacing w:before="40"/>
      <w:ind w:firstLine="0"/>
      <w:outlineLvl w:val="8"/>
    </w:pPr>
    <w:rPr>
      <w:rFonts w:asciiTheme="majorHAnsi" w:eastAsiaTheme="majorEastAsia" w:hAnsiTheme="majorHAnsi" w:cstheme="majorBidi"/>
      <w:i/>
      <w:iCs/>
      <w:color w:val="262626" w:themeColor="text1" w:themeTint="D9"/>
      <w:sz w:val="22"/>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Refdenotaalfinal">
    <w:name w:val="endnote reference"/>
    <w:basedOn w:val="Fuentedeprrafopredeter"/>
    <w:uiPriority w:val="99"/>
    <w:semiHidden/>
    <w:unhideWhenUsed/>
    <w:qFormat/>
    <w:rPr>
      <w:vertAlign w:val="superscript"/>
    </w:rPr>
  </w:style>
  <w:style w:type="character" w:styleId="CdigoHTML">
    <w:name w:val="HTML Code"/>
    <w:basedOn w:val="Fuentedeprrafopredeter"/>
    <w:uiPriority w:val="99"/>
    <w:semiHidden/>
    <w:unhideWhenUsed/>
    <w:qFormat/>
    <w:rPr>
      <w:rFonts w:ascii="Consolas" w:hAnsi="Consolas"/>
      <w:sz w:val="22"/>
      <w:szCs w:val="20"/>
    </w:rPr>
  </w:style>
  <w:style w:type="character" w:styleId="MquinadeescribirHTML">
    <w:name w:val="HTML Typewriter"/>
    <w:basedOn w:val="Fuentedeprrafopredeter"/>
    <w:uiPriority w:val="99"/>
    <w:semiHidden/>
    <w:unhideWhenUsed/>
    <w:qFormat/>
    <w:rPr>
      <w:rFonts w:ascii="Consolas" w:hAnsi="Consolas"/>
      <w:sz w:val="22"/>
      <w:szCs w:val="20"/>
    </w:rPr>
  </w:style>
  <w:style w:type="character" w:styleId="Refdecomentario">
    <w:name w:val="annotation reference"/>
    <w:basedOn w:val="Fuentedeprrafopredeter"/>
    <w:uiPriority w:val="99"/>
    <w:semiHidden/>
    <w:unhideWhenUsed/>
    <w:qFormat/>
    <w:rPr>
      <w:sz w:val="22"/>
      <w:szCs w:val="16"/>
    </w:rPr>
  </w:style>
  <w:style w:type="character" w:styleId="Refdenotaalpie">
    <w:name w:val="footnote reference"/>
    <w:basedOn w:val="Fuentedeprrafopredeter"/>
    <w:uiPriority w:val="5"/>
    <w:unhideWhenUsed/>
    <w:qFormat/>
    <w:rPr>
      <w:vertAlign w:val="superscript"/>
    </w:rPr>
  </w:style>
  <w:style w:type="character" w:styleId="nfasis">
    <w:name w:val="Emphasis"/>
    <w:basedOn w:val="Fuentedeprrafopredeter"/>
    <w:uiPriority w:val="20"/>
    <w:unhideWhenUsed/>
    <w:qFormat/>
    <w:rPr>
      <w:i/>
      <w:iCs/>
    </w:rPr>
  </w:style>
  <w:style w:type="character" w:styleId="Hipervnculo">
    <w:name w:val="Hyperlink"/>
    <w:basedOn w:val="Fuentedeprrafopredeter"/>
    <w:uiPriority w:val="99"/>
    <w:unhideWhenUsed/>
    <w:qFormat/>
    <w:rPr>
      <w:color w:val="5F5F5F" w:themeColor="hyperlink"/>
      <w:u w:val="single"/>
    </w:rPr>
  </w:style>
  <w:style w:type="character" w:styleId="Hipervnculovisitado">
    <w:name w:val="FollowedHyperlink"/>
    <w:basedOn w:val="Fuentedeprrafopredeter"/>
    <w:uiPriority w:val="99"/>
    <w:semiHidden/>
    <w:unhideWhenUsed/>
    <w:qFormat/>
    <w:rPr>
      <w:color w:val="595959" w:themeColor="text1" w:themeTint="A6"/>
      <w:u w:val="single"/>
    </w:rPr>
  </w:style>
  <w:style w:type="character" w:styleId="TecladoHTML">
    <w:name w:val="HTML Keyboard"/>
    <w:basedOn w:val="Fuentedeprrafopredeter"/>
    <w:uiPriority w:val="99"/>
    <w:semiHidden/>
    <w:unhideWhenUsed/>
    <w:qFormat/>
    <w:rPr>
      <w:rFonts w:ascii="Consolas" w:hAnsi="Consolas"/>
      <w:sz w:val="22"/>
      <w:szCs w:val="20"/>
    </w:rPr>
  </w:style>
  <w:style w:type="character" w:styleId="Textoennegrita">
    <w:name w:val="Strong"/>
    <w:basedOn w:val="Fuentedeprrafopredeter"/>
    <w:uiPriority w:val="22"/>
    <w:unhideWhenUsed/>
    <w:qFormat/>
    <w:rPr>
      <w:caps/>
    </w:rPr>
  </w:style>
  <w:style w:type="paragraph" w:styleId="Continuarlista2">
    <w:name w:val="List Continue 2"/>
    <w:basedOn w:val="Normal"/>
    <w:uiPriority w:val="99"/>
    <w:semiHidden/>
    <w:unhideWhenUsed/>
    <w:qFormat/>
    <w:pPr>
      <w:spacing w:after="120"/>
      <w:ind w:left="720" w:firstLine="0"/>
      <w:contextualSpacing/>
    </w:pPr>
  </w:style>
  <w:style w:type="paragraph" w:styleId="ndice1">
    <w:name w:val="index 1"/>
    <w:basedOn w:val="Normal"/>
    <w:next w:val="Normal"/>
    <w:autoRedefine/>
    <w:uiPriority w:val="99"/>
    <w:semiHidden/>
    <w:unhideWhenUsed/>
    <w:qFormat/>
    <w:pPr>
      <w:spacing w:line="240" w:lineRule="auto"/>
      <w:ind w:left="240" w:firstLine="0"/>
    </w:pPr>
  </w:style>
  <w:style w:type="paragraph" w:styleId="TDC3">
    <w:name w:val="toc 3"/>
    <w:basedOn w:val="Normal"/>
    <w:next w:val="Normal"/>
    <w:autoRedefine/>
    <w:uiPriority w:val="39"/>
    <w:unhideWhenUsed/>
    <w:qFormat/>
    <w:pPr>
      <w:spacing w:after="100"/>
      <w:ind w:left="480"/>
    </w:pPr>
  </w:style>
  <w:style w:type="paragraph" w:styleId="ndice7">
    <w:name w:val="index 7"/>
    <w:basedOn w:val="Normal"/>
    <w:next w:val="Normal"/>
    <w:autoRedefine/>
    <w:uiPriority w:val="99"/>
    <w:semiHidden/>
    <w:unhideWhenUsed/>
    <w:qFormat/>
    <w:pPr>
      <w:spacing w:line="240" w:lineRule="auto"/>
      <w:ind w:left="1680" w:firstLine="0"/>
    </w:pPr>
  </w:style>
  <w:style w:type="paragraph" w:styleId="Textonotapie">
    <w:name w:val="footnote text"/>
    <w:basedOn w:val="Normal"/>
    <w:link w:val="TextonotapieCar"/>
    <w:uiPriority w:val="99"/>
    <w:semiHidden/>
    <w:unhideWhenUsed/>
    <w:qFormat/>
    <w:pPr>
      <w:spacing w:line="240" w:lineRule="auto"/>
    </w:pPr>
    <w:rPr>
      <w:sz w:val="22"/>
      <w:szCs w:val="20"/>
    </w:rPr>
  </w:style>
  <w:style w:type="paragraph" w:styleId="TDC9">
    <w:name w:val="toc 9"/>
    <w:basedOn w:val="Normal"/>
    <w:next w:val="Normal"/>
    <w:autoRedefine/>
    <w:uiPriority w:val="39"/>
    <w:semiHidden/>
    <w:unhideWhenUsed/>
    <w:qFormat/>
    <w:pPr>
      <w:spacing w:after="100"/>
      <w:ind w:left="1920" w:firstLine="0"/>
    </w:pPr>
  </w:style>
  <w:style w:type="paragraph" w:styleId="Descripcin">
    <w:name w:val="caption"/>
    <w:basedOn w:val="Normal"/>
    <w:next w:val="Normal"/>
    <w:uiPriority w:val="35"/>
    <w:unhideWhenUsed/>
    <w:qFormat/>
    <w:pPr>
      <w:spacing w:line="240" w:lineRule="auto"/>
      <w:ind w:firstLine="0"/>
    </w:pPr>
    <w:rPr>
      <w:i/>
      <w:iCs/>
      <w:color w:val="000000" w:themeColor="text2"/>
      <w:sz w:val="22"/>
      <w:szCs w:val="18"/>
    </w:rPr>
  </w:style>
  <w:style w:type="paragraph" w:styleId="TDC7">
    <w:name w:val="toc 7"/>
    <w:basedOn w:val="Normal"/>
    <w:next w:val="Normal"/>
    <w:autoRedefine/>
    <w:uiPriority w:val="39"/>
    <w:semiHidden/>
    <w:unhideWhenUsed/>
    <w:qFormat/>
    <w:pPr>
      <w:spacing w:after="100"/>
      <w:ind w:left="1440" w:firstLine="0"/>
    </w:pPr>
  </w:style>
  <w:style w:type="paragraph" w:styleId="TDC1">
    <w:name w:val="toc 1"/>
    <w:basedOn w:val="Normal"/>
    <w:next w:val="Normal"/>
    <w:autoRedefine/>
    <w:uiPriority w:val="39"/>
    <w:unhideWhenUsed/>
    <w:qFormat/>
    <w:pPr>
      <w:spacing w:after="100"/>
    </w:pPr>
  </w:style>
  <w:style w:type="paragraph" w:styleId="Encabezadodelista">
    <w:name w:val="toa heading"/>
    <w:basedOn w:val="Normal"/>
    <w:next w:val="Normal"/>
    <w:uiPriority w:val="99"/>
    <w:semiHidden/>
    <w:unhideWhenUsed/>
    <w:qFormat/>
    <w:pPr>
      <w:spacing w:before="120"/>
      <w:ind w:firstLine="0"/>
    </w:pPr>
    <w:rPr>
      <w:rFonts w:asciiTheme="majorHAnsi" w:eastAsiaTheme="majorEastAsia" w:hAnsiTheme="majorHAnsi" w:cstheme="majorBidi"/>
      <w:b/>
      <w:bCs/>
    </w:rPr>
  </w:style>
  <w:style w:type="paragraph" w:styleId="ndice4">
    <w:name w:val="index 4"/>
    <w:basedOn w:val="Normal"/>
    <w:next w:val="Normal"/>
    <w:autoRedefine/>
    <w:uiPriority w:val="99"/>
    <w:semiHidden/>
    <w:unhideWhenUsed/>
    <w:qFormat/>
    <w:pPr>
      <w:spacing w:line="240" w:lineRule="auto"/>
      <w:ind w:left="960" w:firstLine="0"/>
    </w:pPr>
  </w:style>
  <w:style w:type="paragraph" w:styleId="Mapadeldocumento">
    <w:name w:val="Document Map"/>
    <w:basedOn w:val="Normal"/>
    <w:link w:val="MapadeldocumentoCar"/>
    <w:uiPriority w:val="99"/>
    <w:semiHidden/>
    <w:unhideWhenUsed/>
    <w:qFormat/>
    <w:pPr>
      <w:spacing w:line="240" w:lineRule="auto"/>
      <w:ind w:firstLine="0"/>
    </w:pPr>
    <w:rPr>
      <w:rFonts w:ascii="Segoe UI" w:hAnsi="Segoe UI" w:cs="Segoe UI"/>
      <w:sz w:val="22"/>
      <w:szCs w:val="16"/>
    </w:rPr>
  </w:style>
  <w:style w:type="paragraph" w:styleId="TDC8">
    <w:name w:val="toc 8"/>
    <w:basedOn w:val="Normal"/>
    <w:next w:val="Normal"/>
    <w:autoRedefine/>
    <w:uiPriority w:val="39"/>
    <w:semiHidden/>
    <w:unhideWhenUsed/>
    <w:qFormat/>
    <w:pPr>
      <w:spacing w:after="100"/>
      <w:ind w:left="1680" w:firstLine="0"/>
    </w:pPr>
  </w:style>
  <w:style w:type="paragraph" w:styleId="TDC2">
    <w:name w:val="toc 2"/>
    <w:basedOn w:val="Normal"/>
    <w:next w:val="Normal"/>
    <w:autoRedefine/>
    <w:uiPriority w:val="39"/>
    <w:unhideWhenUsed/>
    <w:qFormat/>
    <w:pPr>
      <w:spacing w:after="100"/>
      <w:ind w:left="240"/>
    </w:pPr>
  </w:style>
  <w:style w:type="paragraph" w:styleId="Textomacro">
    <w:name w:val="macro"/>
    <w:link w:val="TextomacroCar"/>
    <w:uiPriority w:val="99"/>
    <w:semiHidden/>
    <w:unhideWhenUsed/>
    <w:qFormat/>
    <w:pPr>
      <w:tabs>
        <w:tab w:val="left" w:pos="480"/>
        <w:tab w:val="left" w:pos="960"/>
        <w:tab w:val="left" w:pos="1440"/>
        <w:tab w:val="left" w:pos="1920"/>
        <w:tab w:val="left" w:pos="2400"/>
        <w:tab w:val="left" w:pos="2880"/>
        <w:tab w:val="left" w:pos="3360"/>
        <w:tab w:val="left" w:pos="3840"/>
        <w:tab w:val="left" w:pos="4320"/>
      </w:tabs>
      <w:spacing w:line="480" w:lineRule="auto"/>
    </w:pPr>
    <w:rPr>
      <w:rFonts w:ascii="Consolas" w:eastAsiaTheme="minorEastAsia" w:hAnsi="Consolas" w:cs="Consolas"/>
      <w:kern w:val="24"/>
      <w:sz w:val="22"/>
      <w:lang w:val="en-US" w:eastAsia="ja-JP"/>
    </w:rPr>
  </w:style>
  <w:style w:type="paragraph" w:styleId="ndice3">
    <w:name w:val="index 3"/>
    <w:basedOn w:val="Normal"/>
    <w:next w:val="Normal"/>
    <w:autoRedefine/>
    <w:uiPriority w:val="99"/>
    <w:semiHidden/>
    <w:unhideWhenUsed/>
    <w:qFormat/>
    <w:pPr>
      <w:spacing w:line="240" w:lineRule="auto"/>
      <w:ind w:left="720" w:firstLine="0"/>
    </w:pPr>
  </w:style>
  <w:style w:type="paragraph" w:styleId="Textonotaalfinal">
    <w:name w:val="endnote text"/>
    <w:basedOn w:val="Normal"/>
    <w:link w:val="TextonotaalfinalCar"/>
    <w:uiPriority w:val="99"/>
    <w:semiHidden/>
    <w:unhideWhenUsed/>
    <w:qFormat/>
    <w:pPr>
      <w:spacing w:line="240" w:lineRule="auto"/>
    </w:pPr>
    <w:rPr>
      <w:sz w:val="22"/>
      <w:szCs w:val="20"/>
    </w:rPr>
  </w:style>
  <w:style w:type="paragraph" w:styleId="Continuarlista3">
    <w:name w:val="List Continue 3"/>
    <w:basedOn w:val="Normal"/>
    <w:uiPriority w:val="99"/>
    <w:semiHidden/>
    <w:unhideWhenUsed/>
    <w:qFormat/>
    <w:pPr>
      <w:spacing w:after="120"/>
      <w:ind w:left="1080" w:firstLine="0"/>
      <w:contextualSpacing/>
    </w:pPr>
  </w:style>
  <w:style w:type="paragraph" w:styleId="ndice8">
    <w:name w:val="index 8"/>
    <w:basedOn w:val="Normal"/>
    <w:next w:val="Normal"/>
    <w:autoRedefine/>
    <w:uiPriority w:val="99"/>
    <w:semiHidden/>
    <w:unhideWhenUsed/>
    <w:qFormat/>
    <w:pPr>
      <w:spacing w:line="240" w:lineRule="auto"/>
      <w:ind w:left="1920" w:firstLine="0"/>
    </w:pPr>
  </w:style>
  <w:style w:type="paragraph" w:styleId="ndice5">
    <w:name w:val="index 5"/>
    <w:basedOn w:val="Normal"/>
    <w:next w:val="Normal"/>
    <w:autoRedefine/>
    <w:uiPriority w:val="99"/>
    <w:semiHidden/>
    <w:unhideWhenUsed/>
    <w:qFormat/>
    <w:pPr>
      <w:spacing w:line="240" w:lineRule="auto"/>
      <w:ind w:left="1200" w:firstLine="0"/>
    </w:pPr>
  </w:style>
  <w:style w:type="paragraph" w:styleId="ndice2">
    <w:name w:val="index 2"/>
    <w:basedOn w:val="Normal"/>
    <w:next w:val="Normal"/>
    <w:autoRedefine/>
    <w:uiPriority w:val="99"/>
    <w:semiHidden/>
    <w:unhideWhenUsed/>
    <w:qFormat/>
    <w:pPr>
      <w:spacing w:line="240" w:lineRule="auto"/>
      <w:ind w:left="480" w:firstLine="0"/>
    </w:pPr>
  </w:style>
  <w:style w:type="paragraph" w:styleId="Asuntodelcomentario">
    <w:name w:val="annotation subject"/>
    <w:basedOn w:val="Textocomentario"/>
    <w:next w:val="Textocomentario"/>
    <w:link w:val="AsuntodelcomentarioCar"/>
    <w:uiPriority w:val="99"/>
    <w:semiHidden/>
    <w:unhideWhenUsed/>
    <w:qFormat/>
    <w:rPr>
      <w:b/>
      <w:bCs/>
    </w:rPr>
  </w:style>
  <w:style w:type="paragraph" w:styleId="Textocomentario">
    <w:name w:val="annotation text"/>
    <w:basedOn w:val="Normal"/>
    <w:link w:val="TextocomentarioCar"/>
    <w:uiPriority w:val="99"/>
    <w:unhideWhenUsed/>
    <w:qFormat/>
    <w:pPr>
      <w:spacing w:line="240" w:lineRule="auto"/>
      <w:ind w:firstLine="0"/>
    </w:pPr>
    <w:rPr>
      <w:sz w:val="22"/>
      <w:szCs w:val="20"/>
    </w:rPr>
  </w:style>
  <w:style w:type="paragraph" w:styleId="Textodeglobo">
    <w:name w:val="Balloon Text"/>
    <w:basedOn w:val="Normal"/>
    <w:link w:val="TextodegloboCar"/>
    <w:uiPriority w:val="99"/>
    <w:semiHidden/>
    <w:unhideWhenUsed/>
    <w:qFormat/>
    <w:pPr>
      <w:spacing w:line="240" w:lineRule="auto"/>
      <w:ind w:firstLine="0"/>
    </w:pPr>
    <w:rPr>
      <w:rFonts w:ascii="Segoe UI" w:hAnsi="Segoe UI" w:cs="Segoe UI"/>
      <w:sz w:val="22"/>
      <w:szCs w:val="18"/>
    </w:rPr>
  </w:style>
  <w:style w:type="paragraph" w:styleId="Cierre">
    <w:name w:val="Closing"/>
    <w:basedOn w:val="Normal"/>
    <w:link w:val="CierreCar"/>
    <w:uiPriority w:val="99"/>
    <w:semiHidden/>
    <w:unhideWhenUsed/>
    <w:qFormat/>
    <w:pPr>
      <w:spacing w:line="240" w:lineRule="auto"/>
      <w:ind w:left="4320" w:firstLine="0"/>
    </w:pPr>
  </w:style>
  <w:style w:type="paragraph" w:styleId="TDC6">
    <w:name w:val="toc 6"/>
    <w:basedOn w:val="Normal"/>
    <w:next w:val="Normal"/>
    <w:autoRedefine/>
    <w:uiPriority w:val="39"/>
    <w:semiHidden/>
    <w:unhideWhenUsed/>
    <w:qFormat/>
    <w:pPr>
      <w:spacing w:after="100"/>
      <w:ind w:left="1200" w:firstLine="0"/>
    </w:pPr>
  </w:style>
  <w:style w:type="paragraph" w:styleId="TDC5">
    <w:name w:val="toc 5"/>
    <w:basedOn w:val="Normal"/>
    <w:next w:val="Normal"/>
    <w:autoRedefine/>
    <w:uiPriority w:val="39"/>
    <w:semiHidden/>
    <w:unhideWhenUsed/>
    <w:qFormat/>
    <w:pPr>
      <w:spacing w:after="100"/>
      <w:ind w:left="960" w:firstLine="0"/>
    </w:pPr>
  </w:style>
  <w:style w:type="paragraph" w:styleId="Tabladeilustraciones">
    <w:name w:val="table of figures"/>
    <w:basedOn w:val="Normal"/>
    <w:next w:val="Normal"/>
    <w:uiPriority w:val="99"/>
    <w:unhideWhenUsed/>
    <w:qFormat/>
    <w:pPr>
      <w:ind w:firstLine="0"/>
    </w:pPr>
  </w:style>
  <w:style w:type="paragraph" w:styleId="ndice9">
    <w:name w:val="index 9"/>
    <w:basedOn w:val="Normal"/>
    <w:next w:val="Normal"/>
    <w:autoRedefine/>
    <w:uiPriority w:val="99"/>
    <w:semiHidden/>
    <w:unhideWhenUsed/>
    <w:qFormat/>
    <w:pPr>
      <w:spacing w:line="240" w:lineRule="auto"/>
      <w:ind w:left="2160" w:firstLine="0"/>
    </w:pPr>
  </w:style>
  <w:style w:type="paragraph" w:styleId="TDC4">
    <w:name w:val="toc 4"/>
    <w:basedOn w:val="Normal"/>
    <w:next w:val="Normal"/>
    <w:autoRedefine/>
    <w:uiPriority w:val="39"/>
    <w:semiHidden/>
    <w:unhideWhenUsed/>
    <w:qFormat/>
    <w:pPr>
      <w:spacing w:after="100"/>
      <w:ind w:left="720" w:firstLine="0"/>
    </w:pPr>
  </w:style>
  <w:style w:type="paragraph" w:styleId="ndice6">
    <w:name w:val="index 6"/>
    <w:basedOn w:val="Normal"/>
    <w:next w:val="Normal"/>
    <w:autoRedefine/>
    <w:uiPriority w:val="99"/>
    <w:semiHidden/>
    <w:unhideWhenUsed/>
    <w:qFormat/>
    <w:pPr>
      <w:spacing w:line="240" w:lineRule="auto"/>
      <w:ind w:left="1440" w:firstLine="0"/>
    </w:pPr>
  </w:style>
  <w:style w:type="paragraph" w:styleId="Continuarlista">
    <w:name w:val="List Continue"/>
    <w:basedOn w:val="Normal"/>
    <w:uiPriority w:val="99"/>
    <w:semiHidden/>
    <w:unhideWhenUsed/>
    <w:qFormat/>
    <w:pPr>
      <w:spacing w:after="120"/>
      <w:ind w:left="360" w:firstLine="0"/>
      <w:contextualSpacing/>
    </w:pPr>
  </w:style>
  <w:style w:type="paragraph" w:styleId="Textoconsangra">
    <w:name w:val="table of authorities"/>
    <w:basedOn w:val="Normal"/>
    <w:next w:val="Normal"/>
    <w:uiPriority w:val="99"/>
    <w:semiHidden/>
    <w:unhideWhenUsed/>
    <w:qFormat/>
    <w:pPr>
      <w:ind w:left="240" w:firstLine="0"/>
    </w:pPr>
  </w:style>
  <w:style w:type="paragraph" w:styleId="Ttulodendice">
    <w:name w:val="index heading"/>
    <w:basedOn w:val="Normal"/>
    <w:next w:val="ndice1"/>
    <w:uiPriority w:val="99"/>
    <w:semiHidden/>
    <w:unhideWhenUsed/>
    <w:qFormat/>
    <w:pPr>
      <w:ind w:firstLine="0"/>
    </w:pPr>
    <w:rPr>
      <w:rFonts w:asciiTheme="majorHAnsi" w:eastAsiaTheme="majorEastAsia" w:hAnsiTheme="majorHAnsi" w:cstheme="majorBidi"/>
      <w:b/>
      <w:bCs/>
    </w:rPr>
  </w:style>
  <w:style w:type="paragraph" w:styleId="Continuarlista4">
    <w:name w:val="List Continue 4"/>
    <w:basedOn w:val="Normal"/>
    <w:uiPriority w:val="99"/>
    <w:semiHidden/>
    <w:unhideWhenUsed/>
    <w:qFormat/>
    <w:pPr>
      <w:spacing w:after="120"/>
      <w:ind w:left="1440" w:firstLine="0"/>
      <w:contextualSpacing/>
    </w:pPr>
  </w:style>
  <w:style w:type="paragraph" w:styleId="Textoindependiente2">
    <w:name w:val="Body Text 2"/>
    <w:basedOn w:val="Normal"/>
    <w:link w:val="Textoindependiente2Car"/>
    <w:uiPriority w:val="99"/>
    <w:semiHidden/>
    <w:unhideWhenUsed/>
    <w:qFormat/>
    <w:pPr>
      <w:spacing w:after="120"/>
      <w:ind w:firstLine="0"/>
    </w:pPr>
  </w:style>
  <w:style w:type="paragraph" w:styleId="Lista3">
    <w:name w:val="List 3"/>
    <w:basedOn w:val="Normal"/>
    <w:uiPriority w:val="99"/>
    <w:semiHidden/>
    <w:unhideWhenUsed/>
    <w:qFormat/>
    <w:pPr>
      <w:ind w:left="1080" w:firstLine="0"/>
      <w:contextualSpacing/>
    </w:pPr>
  </w:style>
  <w:style w:type="paragraph" w:styleId="Encabezadodenota">
    <w:name w:val="Note Heading"/>
    <w:basedOn w:val="Normal"/>
    <w:next w:val="Normal"/>
    <w:link w:val="EncabezadodenotaCar"/>
    <w:uiPriority w:val="99"/>
    <w:semiHidden/>
    <w:unhideWhenUsed/>
    <w:qFormat/>
    <w:pPr>
      <w:spacing w:line="240" w:lineRule="auto"/>
      <w:ind w:firstLine="0"/>
    </w:pPr>
  </w:style>
  <w:style w:type="paragraph" w:styleId="Remitedesobre">
    <w:name w:val="envelope return"/>
    <w:basedOn w:val="Normal"/>
    <w:uiPriority w:val="99"/>
    <w:semiHidden/>
    <w:unhideWhenUsed/>
    <w:qFormat/>
    <w:pPr>
      <w:spacing w:line="240" w:lineRule="auto"/>
      <w:ind w:firstLine="0"/>
    </w:pPr>
    <w:rPr>
      <w:rFonts w:asciiTheme="majorHAnsi" w:eastAsiaTheme="majorEastAsia" w:hAnsiTheme="majorHAnsi" w:cstheme="majorBidi"/>
      <w:sz w:val="22"/>
      <w:szCs w:val="20"/>
    </w:rPr>
  </w:style>
  <w:style w:type="paragraph" w:styleId="Continuarlista5">
    <w:name w:val="List Continue 5"/>
    <w:basedOn w:val="Normal"/>
    <w:uiPriority w:val="99"/>
    <w:semiHidden/>
    <w:unhideWhenUsed/>
    <w:qFormat/>
    <w:pPr>
      <w:spacing w:after="120"/>
      <w:ind w:left="1800" w:firstLine="0"/>
      <w:contextualSpacing/>
    </w:pPr>
  </w:style>
  <w:style w:type="paragraph" w:styleId="Listaconnmeros2">
    <w:name w:val="List Number 2"/>
    <w:basedOn w:val="Normal"/>
    <w:uiPriority w:val="99"/>
    <w:semiHidden/>
    <w:unhideWhenUsed/>
    <w:qFormat/>
    <w:pPr>
      <w:numPr>
        <w:numId w:val="1"/>
      </w:numPr>
      <w:ind w:firstLine="0"/>
      <w:contextualSpacing/>
    </w:pPr>
  </w:style>
  <w:style w:type="paragraph" w:styleId="Encabezado">
    <w:name w:val="header"/>
    <w:basedOn w:val="Normal"/>
    <w:link w:val="EncabezadoCar"/>
    <w:uiPriority w:val="99"/>
    <w:unhideWhenUsed/>
    <w:qFormat/>
    <w:pPr>
      <w:spacing w:line="240" w:lineRule="auto"/>
      <w:ind w:firstLine="0"/>
    </w:pPr>
  </w:style>
  <w:style w:type="paragraph" w:styleId="DireccinHTML">
    <w:name w:val="HTML Address"/>
    <w:basedOn w:val="Normal"/>
    <w:link w:val="DireccinHTMLCar"/>
    <w:uiPriority w:val="99"/>
    <w:semiHidden/>
    <w:unhideWhenUsed/>
    <w:qFormat/>
    <w:pPr>
      <w:spacing w:line="240" w:lineRule="auto"/>
      <w:ind w:firstLine="0"/>
    </w:pPr>
    <w:rPr>
      <w:i/>
      <w:iCs/>
    </w:rPr>
  </w:style>
  <w:style w:type="paragraph" w:styleId="Listaconnmeros4">
    <w:name w:val="List Number 4"/>
    <w:basedOn w:val="Normal"/>
    <w:uiPriority w:val="99"/>
    <w:semiHidden/>
    <w:unhideWhenUsed/>
    <w:qFormat/>
    <w:pPr>
      <w:numPr>
        <w:numId w:val="2"/>
      </w:numPr>
      <w:ind w:firstLine="0"/>
      <w:contextualSpacing/>
    </w:pPr>
  </w:style>
  <w:style w:type="paragraph" w:styleId="Listaconnmeros3">
    <w:name w:val="List Number 3"/>
    <w:basedOn w:val="Normal"/>
    <w:uiPriority w:val="99"/>
    <w:semiHidden/>
    <w:unhideWhenUsed/>
    <w:qFormat/>
    <w:pPr>
      <w:numPr>
        <w:numId w:val="3"/>
      </w:numPr>
      <w:ind w:firstLine="0"/>
      <w:contextualSpacing/>
    </w:pPr>
  </w:style>
  <w:style w:type="paragraph" w:styleId="HTMLconformatoprevio">
    <w:name w:val="HTML Preformatted"/>
    <w:basedOn w:val="Normal"/>
    <w:link w:val="HTMLconformatoprevioCar"/>
    <w:uiPriority w:val="99"/>
    <w:semiHidden/>
    <w:unhideWhenUsed/>
    <w:qFormat/>
    <w:pPr>
      <w:spacing w:line="240" w:lineRule="auto"/>
      <w:ind w:firstLine="0"/>
    </w:pPr>
    <w:rPr>
      <w:rFonts w:ascii="Consolas" w:hAnsi="Consolas" w:cs="Consolas"/>
      <w:sz w:val="22"/>
      <w:szCs w:val="20"/>
    </w:rPr>
  </w:style>
  <w:style w:type="paragraph" w:styleId="Sangra3detindependiente">
    <w:name w:val="Body Text Indent 3"/>
    <w:basedOn w:val="Normal"/>
    <w:link w:val="Sangra3detindependienteCar"/>
    <w:uiPriority w:val="99"/>
    <w:semiHidden/>
    <w:unhideWhenUsed/>
    <w:qFormat/>
    <w:pPr>
      <w:spacing w:after="120"/>
      <w:ind w:left="360" w:firstLine="0"/>
    </w:pPr>
    <w:rPr>
      <w:sz w:val="22"/>
      <w:szCs w:val="16"/>
    </w:rPr>
  </w:style>
  <w:style w:type="paragraph" w:styleId="Direccinsobre">
    <w:name w:val="envelope address"/>
    <w:basedOn w:val="Normal"/>
    <w:uiPriority w:val="99"/>
    <w:semiHidden/>
    <w:unhideWhenUsed/>
    <w:qFormat/>
    <w:pPr>
      <w:framePr w:w="7920" w:h="1980" w:hRule="exact" w:hSpace="180" w:wrap="auto" w:hAnchor="page" w:xAlign="center" w:yAlign="bottom"/>
      <w:spacing w:line="240" w:lineRule="auto"/>
      <w:ind w:left="2880" w:firstLine="0"/>
    </w:pPr>
    <w:rPr>
      <w:rFonts w:asciiTheme="majorHAnsi" w:eastAsiaTheme="majorEastAsia" w:hAnsiTheme="majorHAnsi" w:cstheme="majorBidi"/>
    </w:rPr>
  </w:style>
  <w:style w:type="paragraph" w:styleId="Sangradetextonormal">
    <w:name w:val="Body Text Indent"/>
    <w:basedOn w:val="Normal"/>
    <w:link w:val="SangradetextonormalCar"/>
    <w:uiPriority w:val="99"/>
    <w:semiHidden/>
    <w:unhideWhenUsed/>
    <w:qFormat/>
    <w:pPr>
      <w:spacing w:after="120"/>
      <w:ind w:left="360" w:firstLine="0"/>
    </w:pPr>
  </w:style>
  <w:style w:type="paragraph" w:styleId="Listaconnmeros">
    <w:name w:val="List Number"/>
    <w:basedOn w:val="Normal"/>
    <w:uiPriority w:val="9"/>
    <w:unhideWhenUsed/>
    <w:qFormat/>
    <w:pPr>
      <w:numPr>
        <w:numId w:val="4"/>
      </w:numPr>
      <w:contextualSpacing/>
    </w:pPr>
  </w:style>
  <w:style w:type="paragraph" w:styleId="Lista2">
    <w:name w:val="List 2"/>
    <w:basedOn w:val="Normal"/>
    <w:uiPriority w:val="99"/>
    <w:semiHidden/>
    <w:unhideWhenUsed/>
    <w:qFormat/>
    <w:pPr>
      <w:ind w:left="720" w:firstLine="0"/>
      <w:contextualSpacing/>
    </w:pPr>
  </w:style>
  <w:style w:type="paragraph" w:styleId="Firma">
    <w:name w:val="Signature"/>
    <w:basedOn w:val="Normal"/>
    <w:link w:val="FirmaCar"/>
    <w:uiPriority w:val="99"/>
    <w:semiHidden/>
    <w:unhideWhenUsed/>
    <w:qFormat/>
    <w:pPr>
      <w:spacing w:line="240" w:lineRule="auto"/>
      <w:ind w:left="4320" w:firstLine="0"/>
    </w:pPr>
  </w:style>
  <w:style w:type="paragraph" w:styleId="Listaconvietas3">
    <w:name w:val="List Bullet 3"/>
    <w:basedOn w:val="Normal"/>
    <w:uiPriority w:val="99"/>
    <w:semiHidden/>
    <w:unhideWhenUsed/>
    <w:qFormat/>
    <w:pPr>
      <w:numPr>
        <w:numId w:val="5"/>
      </w:numPr>
      <w:ind w:firstLine="0"/>
      <w:contextualSpacing/>
    </w:pPr>
  </w:style>
  <w:style w:type="paragraph" w:styleId="Encabezadodemensaje">
    <w:name w:val="Message Header"/>
    <w:basedOn w:val="Normal"/>
    <w:link w:val="EncabezadodemensajeCar"/>
    <w:uiPriority w:val="99"/>
    <w:semiHidden/>
    <w:unhideWhenUsed/>
    <w:qFormat/>
    <w:pPr>
      <w:pBdr>
        <w:top w:val="single" w:sz="6" w:space="1" w:color="auto"/>
        <w:left w:val="single" w:sz="6" w:space="1" w:color="auto"/>
        <w:bottom w:val="single" w:sz="6" w:space="1" w:color="auto"/>
        <w:right w:val="single" w:sz="6" w:space="1" w:color="auto"/>
      </w:pBdr>
      <w:shd w:val="pct20" w:color="auto" w:fill="auto"/>
      <w:spacing w:line="240" w:lineRule="auto"/>
      <w:ind w:left="1080" w:firstLine="0"/>
    </w:pPr>
    <w:rPr>
      <w:rFonts w:asciiTheme="majorHAnsi" w:eastAsiaTheme="majorEastAsia" w:hAnsiTheme="majorHAnsi" w:cstheme="majorBidi"/>
    </w:rPr>
  </w:style>
  <w:style w:type="paragraph" w:styleId="Listaconnmeros5">
    <w:name w:val="List Number 5"/>
    <w:basedOn w:val="Normal"/>
    <w:uiPriority w:val="99"/>
    <w:semiHidden/>
    <w:unhideWhenUsed/>
    <w:qFormat/>
    <w:pPr>
      <w:numPr>
        <w:numId w:val="6"/>
      </w:numPr>
      <w:ind w:firstLine="0"/>
      <w:contextualSpacing/>
    </w:pPr>
  </w:style>
  <w:style w:type="paragraph" w:styleId="Firmadecorreoelectrnico">
    <w:name w:val="E-mail Signature"/>
    <w:basedOn w:val="Normal"/>
    <w:link w:val="FirmadecorreoelectrnicoCar"/>
    <w:uiPriority w:val="99"/>
    <w:semiHidden/>
    <w:unhideWhenUsed/>
    <w:qFormat/>
    <w:pPr>
      <w:spacing w:line="240" w:lineRule="auto"/>
      <w:ind w:firstLine="0"/>
    </w:pPr>
  </w:style>
  <w:style w:type="paragraph" w:styleId="Listaconvietas5">
    <w:name w:val="List Bullet 5"/>
    <w:basedOn w:val="Normal"/>
    <w:uiPriority w:val="99"/>
    <w:semiHidden/>
    <w:unhideWhenUsed/>
    <w:qFormat/>
    <w:pPr>
      <w:numPr>
        <w:numId w:val="7"/>
      </w:numPr>
      <w:ind w:firstLine="0"/>
      <w:contextualSpacing/>
    </w:pPr>
  </w:style>
  <w:style w:type="paragraph" w:styleId="Fecha">
    <w:name w:val="Date"/>
    <w:basedOn w:val="Normal"/>
    <w:next w:val="Normal"/>
    <w:link w:val="FechaCar"/>
    <w:uiPriority w:val="99"/>
    <w:semiHidden/>
    <w:unhideWhenUsed/>
    <w:qFormat/>
    <w:pPr>
      <w:ind w:firstLine="0"/>
    </w:pPr>
  </w:style>
  <w:style w:type="paragraph" w:styleId="Lista5">
    <w:name w:val="List 5"/>
    <w:basedOn w:val="Normal"/>
    <w:uiPriority w:val="99"/>
    <w:semiHidden/>
    <w:unhideWhenUsed/>
    <w:qFormat/>
    <w:pPr>
      <w:ind w:left="1800" w:firstLine="0"/>
      <w:contextualSpacing/>
    </w:pPr>
  </w:style>
  <w:style w:type="paragraph" w:styleId="Lista">
    <w:name w:val="List"/>
    <w:basedOn w:val="Normal"/>
    <w:uiPriority w:val="99"/>
    <w:semiHidden/>
    <w:unhideWhenUsed/>
    <w:qFormat/>
    <w:pPr>
      <w:ind w:left="360" w:firstLine="0"/>
      <w:contextualSpacing/>
    </w:pPr>
  </w:style>
  <w:style w:type="paragraph" w:styleId="Lista4">
    <w:name w:val="List 4"/>
    <w:basedOn w:val="Normal"/>
    <w:uiPriority w:val="99"/>
    <w:semiHidden/>
    <w:unhideWhenUsed/>
    <w:qFormat/>
    <w:pPr>
      <w:ind w:left="1440" w:firstLine="0"/>
      <w:contextualSpacing/>
    </w:pPr>
  </w:style>
  <w:style w:type="paragraph" w:styleId="Listaconvietas">
    <w:name w:val="List Bullet"/>
    <w:basedOn w:val="Normal"/>
    <w:uiPriority w:val="9"/>
    <w:unhideWhenUsed/>
    <w:qFormat/>
    <w:pPr>
      <w:numPr>
        <w:numId w:val="8"/>
      </w:numPr>
      <w:contextualSpacing/>
    </w:pPr>
  </w:style>
  <w:style w:type="paragraph" w:styleId="Listaconvietas2">
    <w:name w:val="List Bullet 2"/>
    <w:basedOn w:val="Normal"/>
    <w:uiPriority w:val="99"/>
    <w:semiHidden/>
    <w:unhideWhenUsed/>
    <w:qFormat/>
    <w:pPr>
      <w:numPr>
        <w:numId w:val="9"/>
      </w:numPr>
      <w:ind w:firstLine="0"/>
      <w:contextualSpacing/>
    </w:pPr>
  </w:style>
  <w:style w:type="paragraph" w:styleId="Listaconvietas4">
    <w:name w:val="List Bullet 4"/>
    <w:basedOn w:val="Normal"/>
    <w:uiPriority w:val="99"/>
    <w:semiHidden/>
    <w:unhideWhenUsed/>
    <w:qFormat/>
    <w:pPr>
      <w:numPr>
        <w:numId w:val="10"/>
      </w:numPr>
      <w:ind w:firstLine="0"/>
      <w:contextualSpacing/>
    </w:pPr>
  </w:style>
  <w:style w:type="paragraph" w:styleId="NormalWeb">
    <w:name w:val="Normal (Web)"/>
    <w:basedOn w:val="Normal"/>
    <w:uiPriority w:val="99"/>
    <w:semiHidden/>
    <w:unhideWhenUsed/>
    <w:qFormat/>
    <w:pPr>
      <w:ind w:firstLine="0"/>
    </w:pPr>
    <w:rPr>
      <w:rFonts w:ascii="Times New Roman" w:hAnsi="Times New Roman" w:cs="Times New Roman"/>
    </w:rPr>
  </w:style>
  <w:style w:type="paragraph" w:styleId="Piedepgina">
    <w:name w:val="footer"/>
    <w:basedOn w:val="Normal"/>
    <w:link w:val="PiedepginaCar"/>
    <w:uiPriority w:val="99"/>
    <w:unhideWhenUsed/>
    <w:qFormat/>
    <w:pPr>
      <w:spacing w:line="240" w:lineRule="auto"/>
      <w:ind w:firstLine="0"/>
    </w:pPr>
  </w:style>
  <w:style w:type="paragraph" w:styleId="Saludo">
    <w:name w:val="Salutation"/>
    <w:basedOn w:val="Normal"/>
    <w:next w:val="Normal"/>
    <w:link w:val="SaludoCar"/>
    <w:uiPriority w:val="99"/>
    <w:semiHidden/>
    <w:unhideWhenUsed/>
    <w:qFormat/>
    <w:pPr>
      <w:ind w:firstLine="0"/>
    </w:pPr>
  </w:style>
  <w:style w:type="paragraph" w:styleId="Sangra2detindependiente">
    <w:name w:val="Body Text Indent 2"/>
    <w:basedOn w:val="Normal"/>
    <w:link w:val="Sangra2detindependienteCar"/>
    <w:uiPriority w:val="99"/>
    <w:semiHidden/>
    <w:unhideWhenUsed/>
    <w:qFormat/>
    <w:pPr>
      <w:spacing w:after="120"/>
      <w:ind w:left="360" w:firstLine="0"/>
    </w:pPr>
  </w:style>
  <w:style w:type="paragraph" w:styleId="Sangranormal">
    <w:name w:val="Normal Indent"/>
    <w:basedOn w:val="Normal"/>
    <w:uiPriority w:val="99"/>
    <w:semiHidden/>
    <w:unhideWhenUsed/>
    <w:qFormat/>
    <w:pPr>
      <w:ind w:left="720" w:firstLine="0"/>
    </w:pPr>
  </w:style>
  <w:style w:type="paragraph" w:styleId="Textodebloque">
    <w:name w:val="Block Text"/>
    <w:basedOn w:val="Normal"/>
    <w:uiPriority w:val="99"/>
    <w:semiHidden/>
    <w:unhideWhenUsed/>
    <w:pPr>
      <w:pBdr>
        <w:top w:val="single" w:sz="2" w:space="10" w:color="595959" w:themeColor="text1" w:themeTint="A6"/>
        <w:left w:val="single" w:sz="2" w:space="10" w:color="595959" w:themeColor="text1" w:themeTint="A6"/>
        <w:bottom w:val="single" w:sz="2" w:space="10" w:color="595959" w:themeColor="text1" w:themeTint="A6"/>
        <w:right w:val="single" w:sz="2" w:space="10" w:color="595959" w:themeColor="text1" w:themeTint="A6"/>
      </w:pBdr>
      <w:ind w:left="1152" w:right="1152" w:firstLine="0"/>
    </w:pPr>
    <w:rPr>
      <w:i/>
      <w:iCs/>
      <w:color w:val="595959" w:themeColor="text1" w:themeTint="A6"/>
    </w:rPr>
  </w:style>
  <w:style w:type="paragraph" w:styleId="Textoindependiente">
    <w:name w:val="Body Text"/>
    <w:basedOn w:val="Normal"/>
    <w:link w:val="TextoindependienteCar"/>
    <w:uiPriority w:val="99"/>
    <w:semiHidden/>
    <w:unhideWhenUsed/>
    <w:qFormat/>
    <w:pPr>
      <w:spacing w:after="120"/>
      <w:ind w:firstLine="0"/>
    </w:pPr>
  </w:style>
  <w:style w:type="paragraph" w:styleId="Textoindependiente3">
    <w:name w:val="Body Text 3"/>
    <w:basedOn w:val="Normal"/>
    <w:link w:val="Textoindependiente3Car"/>
    <w:uiPriority w:val="99"/>
    <w:semiHidden/>
    <w:unhideWhenUsed/>
    <w:pPr>
      <w:spacing w:after="120"/>
      <w:ind w:firstLine="0"/>
    </w:pPr>
    <w:rPr>
      <w:sz w:val="22"/>
      <w:szCs w:val="16"/>
    </w:rPr>
  </w:style>
  <w:style w:type="paragraph" w:styleId="Textoindependienteprimerasangra">
    <w:name w:val="Body Text First Indent"/>
    <w:basedOn w:val="Textoindependiente"/>
    <w:link w:val="TextoindependienteprimerasangraCar"/>
    <w:uiPriority w:val="99"/>
    <w:semiHidden/>
    <w:unhideWhenUsed/>
    <w:qFormat/>
    <w:pPr>
      <w:spacing w:after="0"/>
    </w:pPr>
  </w:style>
  <w:style w:type="paragraph" w:styleId="Textoindependienteprimerasangra2">
    <w:name w:val="Body Text First Indent 2"/>
    <w:basedOn w:val="Sangradetextonormal"/>
    <w:link w:val="Textoindependienteprimerasangra2Car"/>
    <w:uiPriority w:val="99"/>
    <w:semiHidden/>
    <w:unhideWhenUsed/>
    <w:qFormat/>
    <w:pPr>
      <w:spacing w:after="0"/>
    </w:pPr>
  </w:style>
  <w:style w:type="paragraph" w:styleId="Textosinformato">
    <w:name w:val="Plain Text"/>
    <w:basedOn w:val="Normal"/>
    <w:link w:val="TextosinformatoCar"/>
    <w:uiPriority w:val="99"/>
    <w:semiHidden/>
    <w:unhideWhenUsed/>
    <w:qFormat/>
    <w:pPr>
      <w:spacing w:line="240" w:lineRule="auto"/>
      <w:ind w:firstLine="0"/>
    </w:pPr>
    <w:rPr>
      <w:rFonts w:ascii="Consolas" w:hAnsi="Consolas" w:cs="Consolas"/>
      <w:sz w:val="22"/>
      <w:szCs w:val="21"/>
    </w:rPr>
  </w:style>
  <w:style w:type="paragraph" w:styleId="Ttulo">
    <w:name w:val="Title"/>
    <w:basedOn w:val="Normal"/>
    <w:link w:val="TtuloCar"/>
    <w:qFormat/>
    <w:pPr>
      <w:spacing w:before="2400"/>
      <w:ind w:firstLine="0"/>
      <w:contextualSpacing/>
      <w:jc w:val="center"/>
    </w:pPr>
    <w:rPr>
      <w:rFonts w:asciiTheme="majorHAnsi" w:eastAsiaTheme="majorEastAsia" w:hAnsiTheme="majorHAnsi" w:cstheme="majorBidi"/>
    </w:rPr>
  </w:style>
  <w:style w:type="table" w:styleId="Tablaconcuadrcula">
    <w:name w:val="Table Grid"/>
    <w:basedOn w:val="Tablanormal"/>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ectionTitle">
    <w:name w:val="Section Title"/>
    <w:basedOn w:val="Normal"/>
    <w:uiPriority w:val="2"/>
    <w:qFormat/>
    <w:pPr>
      <w:pageBreakBefore/>
      <w:ind w:firstLine="0"/>
      <w:jc w:val="center"/>
      <w:outlineLvl w:val="0"/>
    </w:pPr>
    <w:rPr>
      <w:rFonts w:asciiTheme="majorHAnsi" w:eastAsiaTheme="majorEastAsia" w:hAnsiTheme="majorHAnsi" w:cstheme="majorBidi"/>
    </w:rPr>
  </w:style>
  <w:style w:type="character" w:customStyle="1" w:styleId="EncabezadoCar">
    <w:name w:val="Encabezado Car"/>
    <w:basedOn w:val="Fuentedeprrafopredeter"/>
    <w:link w:val="Encabezado"/>
    <w:uiPriority w:val="99"/>
    <w:qFormat/>
    <w:rPr>
      <w:kern w:val="24"/>
    </w:rPr>
  </w:style>
  <w:style w:type="character" w:styleId="Textodelmarcadordeposicin">
    <w:name w:val="Placeholder Text"/>
    <w:basedOn w:val="Fuentedeprrafopredeter"/>
    <w:uiPriority w:val="99"/>
    <w:semiHidden/>
    <w:qFormat/>
    <w:rPr>
      <w:color w:val="404040" w:themeColor="text1" w:themeTint="BF"/>
    </w:rPr>
  </w:style>
  <w:style w:type="paragraph" w:styleId="Sinespaciado">
    <w:name w:val="No Spacing"/>
    <w:uiPriority w:val="3"/>
    <w:qFormat/>
    <w:pPr>
      <w:spacing w:line="480" w:lineRule="auto"/>
    </w:pPr>
    <w:rPr>
      <w:rFonts w:asciiTheme="minorHAnsi" w:eastAsiaTheme="minorEastAsia" w:hAnsiTheme="minorHAnsi" w:cstheme="minorBidi"/>
      <w:sz w:val="24"/>
      <w:szCs w:val="24"/>
      <w:lang w:val="en-US" w:eastAsia="ja-JP"/>
    </w:rPr>
  </w:style>
  <w:style w:type="character" w:customStyle="1" w:styleId="Ttulo1Car">
    <w:name w:val="Título 1 Car"/>
    <w:basedOn w:val="Fuentedeprrafopredeter"/>
    <w:link w:val="Ttulo1"/>
    <w:uiPriority w:val="4"/>
    <w:rPr>
      <w:rFonts w:asciiTheme="majorHAnsi" w:eastAsiaTheme="majorEastAsia" w:hAnsiTheme="majorHAnsi" w:cstheme="majorBidi"/>
      <w:b/>
      <w:bCs/>
      <w:kern w:val="24"/>
    </w:rPr>
  </w:style>
  <w:style w:type="character" w:customStyle="1" w:styleId="Ttulo2Car">
    <w:name w:val="Título 2 Car"/>
    <w:basedOn w:val="Fuentedeprrafopredeter"/>
    <w:link w:val="Ttulo2"/>
    <w:uiPriority w:val="4"/>
    <w:qFormat/>
    <w:rPr>
      <w:rFonts w:asciiTheme="majorHAnsi" w:eastAsiaTheme="majorEastAsia" w:hAnsiTheme="majorHAnsi" w:cstheme="majorBidi"/>
      <w:b/>
      <w:bCs/>
      <w:kern w:val="24"/>
    </w:rPr>
  </w:style>
  <w:style w:type="character" w:customStyle="1" w:styleId="TtuloCar">
    <w:name w:val="Título Car"/>
    <w:basedOn w:val="Fuentedeprrafopredeter"/>
    <w:link w:val="Ttulo"/>
    <w:qFormat/>
    <w:rPr>
      <w:rFonts w:asciiTheme="majorHAnsi" w:eastAsiaTheme="majorEastAsia" w:hAnsiTheme="majorHAnsi" w:cstheme="majorBidi"/>
      <w:kern w:val="24"/>
    </w:rPr>
  </w:style>
  <w:style w:type="character" w:customStyle="1" w:styleId="Ttulo3Car">
    <w:name w:val="Título 3 Car"/>
    <w:basedOn w:val="Fuentedeprrafopredeter"/>
    <w:link w:val="Ttulo3"/>
    <w:uiPriority w:val="4"/>
    <w:qFormat/>
    <w:rPr>
      <w:rFonts w:asciiTheme="majorHAnsi" w:eastAsiaTheme="majorEastAsia" w:hAnsiTheme="majorHAnsi" w:cstheme="majorBidi"/>
      <w:b/>
      <w:bCs/>
      <w:kern w:val="24"/>
    </w:rPr>
  </w:style>
  <w:style w:type="character" w:customStyle="1" w:styleId="Ttulo4Car">
    <w:name w:val="Título 4 Car"/>
    <w:basedOn w:val="Fuentedeprrafopredeter"/>
    <w:link w:val="Ttulo4"/>
    <w:uiPriority w:val="4"/>
    <w:qFormat/>
    <w:rPr>
      <w:rFonts w:asciiTheme="majorHAnsi" w:eastAsiaTheme="majorEastAsia" w:hAnsiTheme="majorHAnsi" w:cstheme="majorBidi"/>
      <w:b/>
      <w:bCs/>
      <w:i/>
      <w:iCs/>
      <w:kern w:val="24"/>
    </w:rPr>
  </w:style>
  <w:style w:type="character" w:customStyle="1" w:styleId="Ttulo5Car">
    <w:name w:val="Título 5 Car"/>
    <w:basedOn w:val="Fuentedeprrafopredeter"/>
    <w:link w:val="Ttulo5"/>
    <w:uiPriority w:val="4"/>
    <w:rPr>
      <w:rFonts w:asciiTheme="majorHAnsi" w:eastAsiaTheme="majorEastAsia" w:hAnsiTheme="majorHAnsi" w:cstheme="majorBidi"/>
      <w:i/>
      <w:iCs/>
      <w:kern w:val="24"/>
    </w:rPr>
  </w:style>
  <w:style w:type="character" w:customStyle="1" w:styleId="TextodegloboCar">
    <w:name w:val="Texto de globo Car"/>
    <w:basedOn w:val="Fuentedeprrafopredeter"/>
    <w:link w:val="Textodeglobo"/>
    <w:uiPriority w:val="99"/>
    <w:semiHidden/>
    <w:qFormat/>
    <w:rPr>
      <w:rFonts w:ascii="Segoe UI" w:hAnsi="Segoe UI" w:cs="Segoe UI"/>
      <w:kern w:val="24"/>
      <w:sz w:val="22"/>
      <w:szCs w:val="18"/>
    </w:rPr>
  </w:style>
  <w:style w:type="paragraph" w:customStyle="1" w:styleId="Bibliografa1">
    <w:name w:val="Bibliografía1"/>
    <w:basedOn w:val="Normal"/>
    <w:next w:val="Normal"/>
    <w:uiPriority w:val="37"/>
    <w:unhideWhenUsed/>
    <w:qFormat/>
    <w:pPr>
      <w:ind w:left="720" w:hanging="720"/>
    </w:pPr>
  </w:style>
  <w:style w:type="character" w:customStyle="1" w:styleId="TextoindependienteCar">
    <w:name w:val="Texto independiente Car"/>
    <w:basedOn w:val="Fuentedeprrafopredeter"/>
    <w:link w:val="Textoindependiente"/>
    <w:uiPriority w:val="99"/>
    <w:semiHidden/>
    <w:qFormat/>
    <w:rPr>
      <w:kern w:val="24"/>
    </w:rPr>
  </w:style>
  <w:style w:type="character" w:customStyle="1" w:styleId="Textoindependiente2Car">
    <w:name w:val="Texto independiente 2 Car"/>
    <w:basedOn w:val="Fuentedeprrafopredeter"/>
    <w:link w:val="Textoindependiente2"/>
    <w:uiPriority w:val="99"/>
    <w:semiHidden/>
    <w:qFormat/>
    <w:rPr>
      <w:kern w:val="24"/>
    </w:rPr>
  </w:style>
  <w:style w:type="character" w:customStyle="1" w:styleId="Textoindependiente3Car">
    <w:name w:val="Texto independiente 3 Car"/>
    <w:basedOn w:val="Fuentedeprrafopredeter"/>
    <w:link w:val="Textoindependiente3"/>
    <w:uiPriority w:val="99"/>
    <w:semiHidden/>
    <w:qFormat/>
    <w:rPr>
      <w:kern w:val="24"/>
      <w:sz w:val="22"/>
      <w:szCs w:val="16"/>
    </w:rPr>
  </w:style>
  <w:style w:type="character" w:customStyle="1" w:styleId="TextoindependienteprimerasangraCar">
    <w:name w:val="Texto independiente primera sangría Car"/>
    <w:basedOn w:val="TextoindependienteCar"/>
    <w:link w:val="Textoindependienteprimerasangra"/>
    <w:uiPriority w:val="99"/>
    <w:semiHidden/>
    <w:qFormat/>
    <w:rPr>
      <w:kern w:val="24"/>
    </w:rPr>
  </w:style>
  <w:style w:type="character" w:customStyle="1" w:styleId="SangradetextonormalCar">
    <w:name w:val="Sangría de texto normal Car"/>
    <w:basedOn w:val="Fuentedeprrafopredeter"/>
    <w:link w:val="Sangradetextonormal"/>
    <w:uiPriority w:val="99"/>
    <w:semiHidden/>
    <w:qFormat/>
    <w:rPr>
      <w:kern w:val="24"/>
    </w:rPr>
  </w:style>
  <w:style w:type="character" w:customStyle="1" w:styleId="Textoindependienteprimerasangra2Car">
    <w:name w:val="Texto independiente primera sangría 2 Car"/>
    <w:basedOn w:val="SangradetextonormalCar"/>
    <w:link w:val="Textoindependienteprimerasangra2"/>
    <w:uiPriority w:val="99"/>
    <w:semiHidden/>
    <w:qFormat/>
    <w:rPr>
      <w:kern w:val="24"/>
    </w:rPr>
  </w:style>
  <w:style w:type="character" w:customStyle="1" w:styleId="Sangra2detindependienteCar">
    <w:name w:val="Sangría 2 de t. independiente Car"/>
    <w:basedOn w:val="Fuentedeprrafopredeter"/>
    <w:link w:val="Sangra2detindependiente"/>
    <w:uiPriority w:val="99"/>
    <w:semiHidden/>
    <w:qFormat/>
    <w:rPr>
      <w:kern w:val="24"/>
    </w:rPr>
  </w:style>
  <w:style w:type="character" w:customStyle="1" w:styleId="Sangra3detindependienteCar">
    <w:name w:val="Sangría 3 de t. independiente Car"/>
    <w:basedOn w:val="Fuentedeprrafopredeter"/>
    <w:link w:val="Sangra3detindependiente"/>
    <w:uiPriority w:val="99"/>
    <w:semiHidden/>
    <w:qFormat/>
    <w:rPr>
      <w:kern w:val="24"/>
      <w:sz w:val="22"/>
      <w:szCs w:val="16"/>
    </w:rPr>
  </w:style>
  <w:style w:type="character" w:customStyle="1" w:styleId="CierreCar">
    <w:name w:val="Cierre Car"/>
    <w:basedOn w:val="Fuentedeprrafopredeter"/>
    <w:link w:val="Cierre"/>
    <w:uiPriority w:val="99"/>
    <w:semiHidden/>
    <w:qFormat/>
    <w:rPr>
      <w:kern w:val="24"/>
    </w:rPr>
  </w:style>
  <w:style w:type="character" w:customStyle="1" w:styleId="TextocomentarioCar">
    <w:name w:val="Texto comentario Car"/>
    <w:basedOn w:val="Fuentedeprrafopredeter"/>
    <w:link w:val="Textocomentario"/>
    <w:uiPriority w:val="99"/>
    <w:qFormat/>
    <w:rPr>
      <w:kern w:val="24"/>
      <w:sz w:val="22"/>
      <w:szCs w:val="20"/>
    </w:rPr>
  </w:style>
  <w:style w:type="character" w:customStyle="1" w:styleId="AsuntodelcomentarioCar">
    <w:name w:val="Asunto del comentario Car"/>
    <w:basedOn w:val="TextocomentarioCar"/>
    <w:link w:val="Asuntodelcomentario"/>
    <w:uiPriority w:val="99"/>
    <w:semiHidden/>
    <w:qFormat/>
    <w:rPr>
      <w:b/>
      <w:bCs/>
      <w:kern w:val="24"/>
      <w:sz w:val="20"/>
      <w:szCs w:val="20"/>
    </w:rPr>
  </w:style>
  <w:style w:type="character" w:customStyle="1" w:styleId="FechaCar">
    <w:name w:val="Fecha Car"/>
    <w:basedOn w:val="Fuentedeprrafopredeter"/>
    <w:link w:val="Fecha"/>
    <w:uiPriority w:val="99"/>
    <w:semiHidden/>
    <w:qFormat/>
    <w:rPr>
      <w:kern w:val="24"/>
    </w:rPr>
  </w:style>
  <w:style w:type="character" w:customStyle="1" w:styleId="MapadeldocumentoCar">
    <w:name w:val="Mapa del documento Car"/>
    <w:basedOn w:val="Fuentedeprrafopredeter"/>
    <w:link w:val="Mapadeldocumento"/>
    <w:uiPriority w:val="99"/>
    <w:semiHidden/>
    <w:qFormat/>
    <w:rPr>
      <w:rFonts w:ascii="Segoe UI" w:hAnsi="Segoe UI" w:cs="Segoe UI"/>
      <w:kern w:val="24"/>
      <w:sz w:val="22"/>
      <w:szCs w:val="16"/>
    </w:rPr>
  </w:style>
  <w:style w:type="character" w:customStyle="1" w:styleId="FirmadecorreoelectrnicoCar">
    <w:name w:val="Firma de correo electrónico Car"/>
    <w:basedOn w:val="Fuentedeprrafopredeter"/>
    <w:link w:val="Firmadecorreoelectrnico"/>
    <w:uiPriority w:val="99"/>
    <w:semiHidden/>
    <w:qFormat/>
    <w:rPr>
      <w:kern w:val="24"/>
    </w:rPr>
  </w:style>
  <w:style w:type="character" w:customStyle="1" w:styleId="TextonotapieCar">
    <w:name w:val="Texto nota pie Car"/>
    <w:basedOn w:val="Fuentedeprrafopredeter"/>
    <w:link w:val="Textonotapie"/>
    <w:uiPriority w:val="99"/>
    <w:semiHidden/>
    <w:qFormat/>
    <w:rPr>
      <w:kern w:val="24"/>
      <w:sz w:val="22"/>
      <w:szCs w:val="20"/>
    </w:rPr>
  </w:style>
  <w:style w:type="character" w:customStyle="1" w:styleId="PiedepginaCar">
    <w:name w:val="Pie de página Car"/>
    <w:basedOn w:val="Fuentedeprrafopredeter"/>
    <w:link w:val="Piedepgina"/>
    <w:uiPriority w:val="99"/>
    <w:qFormat/>
    <w:rPr>
      <w:kern w:val="24"/>
    </w:rPr>
  </w:style>
  <w:style w:type="table" w:customStyle="1" w:styleId="Tablaconcuadrculaclara1">
    <w:name w:val="Tabla con cuadrícula clara1"/>
    <w:basedOn w:val="Tablanormal"/>
    <w:uiPriority w:val="40"/>
    <w:qFormat/>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Ttulo6Car">
    <w:name w:val="Título 6 Car"/>
    <w:basedOn w:val="Fuentedeprrafopredeter"/>
    <w:link w:val="Ttulo6"/>
    <w:uiPriority w:val="9"/>
    <w:semiHidden/>
    <w:qFormat/>
    <w:rPr>
      <w:rFonts w:asciiTheme="majorHAnsi" w:eastAsiaTheme="majorEastAsia" w:hAnsiTheme="majorHAnsi" w:cstheme="majorBidi"/>
      <w:color w:val="6E6E6E" w:themeColor="accent1" w:themeShade="80"/>
      <w:kern w:val="24"/>
    </w:rPr>
  </w:style>
  <w:style w:type="character" w:customStyle="1" w:styleId="Ttulo7Car">
    <w:name w:val="Título 7 Car"/>
    <w:basedOn w:val="Fuentedeprrafopredeter"/>
    <w:link w:val="Ttulo7"/>
    <w:uiPriority w:val="9"/>
    <w:semiHidden/>
    <w:qFormat/>
    <w:rPr>
      <w:rFonts w:asciiTheme="majorHAnsi" w:eastAsiaTheme="majorEastAsia" w:hAnsiTheme="majorHAnsi" w:cstheme="majorBidi"/>
      <w:i/>
      <w:iCs/>
      <w:color w:val="6E6E6E" w:themeColor="accent1" w:themeShade="80"/>
      <w:kern w:val="24"/>
    </w:rPr>
  </w:style>
  <w:style w:type="character" w:customStyle="1" w:styleId="Ttulo8Car">
    <w:name w:val="Título 8 Car"/>
    <w:basedOn w:val="Fuentedeprrafopredeter"/>
    <w:link w:val="Ttulo8"/>
    <w:uiPriority w:val="9"/>
    <w:semiHidden/>
    <w:qFormat/>
    <w:rPr>
      <w:rFonts w:asciiTheme="majorHAnsi" w:eastAsiaTheme="majorEastAsia" w:hAnsiTheme="majorHAnsi" w:cstheme="majorBidi"/>
      <w:color w:val="262626" w:themeColor="text1" w:themeTint="D9"/>
      <w:kern w:val="24"/>
      <w:sz w:val="22"/>
      <w:szCs w:val="21"/>
    </w:rPr>
  </w:style>
  <w:style w:type="character" w:customStyle="1" w:styleId="Ttulo9Car">
    <w:name w:val="Título 9 Car"/>
    <w:basedOn w:val="Fuentedeprrafopredeter"/>
    <w:link w:val="Ttulo9"/>
    <w:uiPriority w:val="9"/>
    <w:semiHidden/>
    <w:qFormat/>
    <w:rPr>
      <w:rFonts w:asciiTheme="majorHAnsi" w:eastAsiaTheme="majorEastAsia" w:hAnsiTheme="majorHAnsi" w:cstheme="majorBidi"/>
      <w:i/>
      <w:iCs/>
      <w:color w:val="262626" w:themeColor="text1" w:themeTint="D9"/>
      <w:kern w:val="24"/>
      <w:sz w:val="22"/>
      <w:szCs w:val="21"/>
    </w:rPr>
  </w:style>
  <w:style w:type="character" w:customStyle="1" w:styleId="DireccinHTMLCar">
    <w:name w:val="Dirección HTML Car"/>
    <w:basedOn w:val="Fuentedeprrafopredeter"/>
    <w:link w:val="DireccinHTML"/>
    <w:uiPriority w:val="99"/>
    <w:semiHidden/>
    <w:qFormat/>
    <w:rPr>
      <w:i/>
      <w:iCs/>
      <w:kern w:val="24"/>
    </w:rPr>
  </w:style>
  <w:style w:type="character" w:customStyle="1" w:styleId="HTMLconformatoprevioCar">
    <w:name w:val="HTML con formato previo Car"/>
    <w:basedOn w:val="Fuentedeprrafopredeter"/>
    <w:link w:val="HTMLconformatoprevio"/>
    <w:uiPriority w:val="99"/>
    <w:semiHidden/>
    <w:qFormat/>
    <w:rPr>
      <w:rFonts w:ascii="Consolas" w:hAnsi="Consolas" w:cs="Consolas"/>
      <w:kern w:val="24"/>
      <w:sz w:val="22"/>
      <w:szCs w:val="20"/>
    </w:rPr>
  </w:style>
  <w:style w:type="paragraph" w:styleId="Citadestacada">
    <w:name w:val="Intense Quote"/>
    <w:basedOn w:val="Normal"/>
    <w:next w:val="Normal"/>
    <w:link w:val="CitadestacadaCar"/>
    <w:uiPriority w:val="30"/>
    <w:semiHidden/>
    <w:unhideWhenUsed/>
    <w:qFormat/>
    <w:pPr>
      <w:pBdr>
        <w:top w:val="single" w:sz="4" w:space="10" w:color="404040" w:themeColor="text1" w:themeTint="BF"/>
        <w:bottom w:val="single" w:sz="4" w:space="10" w:color="404040" w:themeColor="text1" w:themeTint="BF"/>
      </w:pBdr>
      <w:spacing w:before="360" w:after="360"/>
      <w:ind w:left="864" w:right="864" w:firstLine="0"/>
      <w:jc w:val="center"/>
    </w:pPr>
    <w:rPr>
      <w:i/>
      <w:iCs/>
      <w:color w:val="404040" w:themeColor="text1" w:themeTint="BF"/>
    </w:rPr>
  </w:style>
  <w:style w:type="character" w:customStyle="1" w:styleId="CitadestacadaCar">
    <w:name w:val="Cita destacada Car"/>
    <w:basedOn w:val="Fuentedeprrafopredeter"/>
    <w:link w:val="Citadestacada"/>
    <w:uiPriority w:val="30"/>
    <w:semiHidden/>
    <w:qFormat/>
    <w:rPr>
      <w:i/>
      <w:iCs/>
      <w:color w:val="404040" w:themeColor="text1" w:themeTint="BF"/>
      <w:kern w:val="24"/>
    </w:rPr>
  </w:style>
  <w:style w:type="paragraph" w:styleId="Prrafodelista">
    <w:name w:val="List Paragraph"/>
    <w:basedOn w:val="Normal"/>
    <w:uiPriority w:val="34"/>
    <w:unhideWhenUsed/>
    <w:qFormat/>
    <w:pPr>
      <w:ind w:left="720" w:firstLine="0"/>
      <w:contextualSpacing/>
    </w:pPr>
  </w:style>
  <w:style w:type="character" w:customStyle="1" w:styleId="TextomacroCar">
    <w:name w:val="Texto macro Car"/>
    <w:basedOn w:val="Fuentedeprrafopredeter"/>
    <w:link w:val="Textomacro"/>
    <w:uiPriority w:val="99"/>
    <w:semiHidden/>
    <w:qFormat/>
    <w:rPr>
      <w:rFonts w:ascii="Consolas" w:hAnsi="Consolas" w:cs="Consolas"/>
      <w:kern w:val="24"/>
      <w:sz w:val="22"/>
      <w:szCs w:val="20"/>
    </w:rPr>
  </w:style>
  <w:style w:type="character" w:customStyle="1" w:styleId="EncabezadodemensajeCar">
    <w:name w:val="Encabezado de mensaje Car"/>
    <w:basedOn w:val="Fuentedeprrafopredeter"/>
    <w:link w:val="Encabezadodemensaje"/>
    <w:uiPriority w:val="99"/>
    <w:semiHidden/>
    <w:qFormat/>
    <w:rPr>
      <w:rFonts w:asciiTheme="majorHAnsi" w:eastAsiaTheme="majorEastAsia" w:hAnsiTheme="majorHAnsi" w:cstheme="majorBidi"/>
      <w:kern w:val="24"/>
      <w:shd w:val="pct20" w:color="auto" w:fill="auto"/>
    </w:rPr>
  </w:style>
  <w:style w:type="character" w:customStyle="1" w:styleId="EncabezadodenotaCar">
    <w:name w:val="Encabezado de nota Car"/>
    <w:basedOn w:val="Fuentedeprrafopredeter"/>
    <w:link w:val="Encabezadodenota"/>
    <w:uiPriority w:val="99"/>
    <w:semiHidden/>
    <w:qFormat/>
    <w:rPr>
      <w:kern w:val="24"/>
    </w:rPr>
  </w:style>
  <w:style w:type="character" w:customStyle="1" w:styleId="TextosinformatoCar">
    <w:name w:val="Texto sin formato Car"/>
    <w:basedOn w:val="Fuentedeprrafopredeter"/>
    <w:link w:val="Textosinformato"/>
    <w:uiPriority w:val="99"/>
    <w:semiHidden/>
    <w:qFormat/>
    <w:rPr>
      <w:rFonts w:ascii="Consolas" w:hAnsi="Consolas" w:cs="Consolas"/>
      <w:kern w:val="24"/>
      <w:sz w:val="22"/>
      <w:szCs w:val="21"/>
    </w:rPr>
  </w:style>
  <w:style w:type="paragraph" w:styleId="Cita">
    <w:name w:val="Quote"/>
    <w:basedOn w:val="Normal"/>
    <w:next w:val="Normal"/>
    <w:link w:val="CitaCar"/>
    <w:uiPriority w:val="29"/>
    <w:semiHidden/>
    <w:unhideWhenUsed/>
    <w:qFormat/>
    <w:pPr>
      <w:spacing w:before="200" w:after="160"/>
      <w:ind w:left="864" w:right="864" w:firstLine="0"/>
      <w:jc w:val="center"/>
    </w:pPr>
    <w:rPr>
      <w:i/>
      <w:iCs/>
      <w:color w:val="404040" w:themeColor="text1" w:themeTint="BF"/>
    </w:rPr>
  </w:style>
  <w:style w:type="character" w:customStyle="1" w:styleId="CitaCar">
    <w:name w:val="Cita Car"/>
    <w:basedOn w:val="Fuentedeprrafopredeter"/>
    <w:link w:val="Cita"/>
    <w:uiPriority w:val="29"/>
    <w:semiHidden/>
    <w:qFormat/>
    <w:rPr>
      <w:i/>
      <w:iCs/>
      <w:color w:val="404040" w:themeColor="text1" w:themeTint="BF"/>
      <w:kern w:val="24"/>
    </w:rPr>
  </w:style>
  <w:style w:type="character" w:customStyle="1" w:styleId="SaludoCar">
    <w:name w:val="Saludo Car"/>
    <w:basedOn w:val="Fuentedeprrafopredeter"/>
    <w:link w:val="Saludo"/>
    <w:uiPriority w:val="99"/>
    <w:semiHidden/>
    <w:qFormat/>
    <w:rPr>
      <w:kern w:val="24"/>
    </w:rPr>
  </w:style>
  <w:style w:type="character" w:customStyle="1" w:styleId="FirmaCar">
    <w:name w:val="Firma Car"/>
    <w:basedOn w:val="Fuentedeprrafopredeter"/>
    <w:link w:val="Firma"/>
    <w:uiPriority w:val="99"/>
    <w:semiHidden/>
    <w:qFormat/>
    <w:rPr>
      <w:kern w:val="24"/>
    </w:rPr>
  </w:style>
  <w:style w:type="table" w:customStyle="1" w:styleId="APAReport">
    <w:name w:val="APA Report"/>
    <w:basedOn w:val="Tablanormal"/>
    <w:uiPriority w:val="99"/>
    <w:qFormat/>
    <w:tblPr>
      <w:tblBorders>
        <w:top w:val="single" w:sz="12" w:space="0" w:color="auto"/>
        <w:bottom w:val="single" w:sz="12" w:space="0" w:color="auto"/>
      </w:tblBorders>
    </w:tblPr>
    <w:tblStylePr w:type="firstRow">
      <w:rPr>
        <w:rFonts w:asciiTheme="majorHAnsi" w:hAnsiTheme="majorHAnsi"/>
      </w:rPr>
      <w:tblPr/>
      <w:trPr>
        <w:tblHeader/>
      </w:trPr>
      <w:tcPr>
        <w:tcBorders>
          <w:top w:val="single" w:sz="12" w:space="0" w:color="auto"/>
          <w:left w:val="nil"/>
          <w:bottom w:val="single" w:sz="12" w:space="0" w:color="auto"/>
          <w:right w:val="nil"/>
          <w:insideH w:val="nil"/>
          <w:insideV w:val="nil"/>
          <w:tl2br w:val="nil"/>
          <w:tr2bl w:val="nil"/>
        </w:tcBorders>
      </w:tcPr>
    </w:tblStylePr>
  </w:style>
  <w:style w:type="paragraph" w:customStyle="1" w:styleId="TableFigure">
    <w:name w:val="Table/Figure"/>
    <w:basedOn w:val="Normal"/>
    <w:uiPriority w:val="39"/>
    <w:qFormat/>
    <w:pPr>
      <w:spacing w:before="240"/>
      <w:ind w:firstLine="0"/>
      <w:contextualSpacing/>
    </w:pPr>
  </w:style>
  <w:style w:type="table" w:customStyle="1" w:styleId="Tablanormal11">
    <w:name w:val="Tabla normal 11"/>
    <w:basedOn w:val="Tablanormal"/>
    <w:uiPriority w:val="41"/>
    <w:qFormat/>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TextonotaalfinalCar">
    <w:name w:val="Texto nota al final Car"/>
    <w:basedOn w:val="Fuentedeprrafopredeter"/>
    <w:link w:val="Textonotaalfinal"/>
    <w:uiPriority w:val="99"/>
    <w:semiHidden/>
    <w:qFormat/>
    <w:rPr>
      <w:kern w:val="24"/>
      <w:sz w:val="22"/>
      <w:szCs w:val="20"/>
    </w:rPr>
  </w:style>
  <w:style w:type="character" w:customStyle="1" w:styleId="nfasisintenso1">
    <w:name w:val="Énfasis intenso1"/>
    <w:basedOn w:val="Fuentedeprrafopredeter"/>
    <w:uiPriority w:val="21"/>
    <w:semiHidden/>
    <w:unhideWhenUsed/>
    <w:qFormat/>
    <w:rPr>
      <w:i/>
      <w:iCs/>
      <w:color w:val="373737" w:themeColor="accent1" w:themeShade="40"/>
    </w:rPr>
  </w:style>
  <w:style w:type="character" w:customStyle="1" w:styleId="Referenciaintensa1">
    <w:name w:val="Referencia intensa1"/>
    <w:basedOn w:val="Fuentedeprrafopredeter"/>
    <w:uiPriority w:val="32"/>
    <w:semiHidden/>
    <w:unhideWhenUsed/>
    <w:qFormat/>
    <w:rPr>
      <w:b/>
      <w:bCs/>
      <w:smallCaps/>
      <w:color w:val="595959" w:themeColor="text1" w:themeTint="A6"/>
      <w:spacing w:val="5"/>
    </w:rPr>
  </w:style>
  <w:style w:type="paragraph" w:customStyle="1" w:styleId="TtuloTDC1">
    <w:name w:val="Título TDC1"/>
    <w:basedOn w:val="Ttulo1"/>
    <w:next w:val="Normal"/>
    <w:uiPriority w:val="39"/>
    <w:unhideWhenUsed/>
    <w:qFormat/>
    <w:pPr>
      <w:spacing w:before="240"/>
      <w:ind w:firstLine="720"/>
      <w:jc w:val="left"/>
      <w:outlineLvl w:val="9"/>
    </w:pPr>
    <w:rPr>
      <w:bCs w:val="0"/>
      <w:szCs w:val="32"/>
    </w:rPr>
  </w:style>
  <w:style w:type="paragraph" w:customStyle="1" w:styleId="Title2">
    <w:name w:val="Title 2"/>
    <w:basedOn w:val="Normal"/>
    <w:uiPriority w:val="1"/>
    <w:qFormat/>
    <w:pPr>
      <w:ind w:firstLine="0"/>
      <w:jc w:val="center"/>
    </w:pPr>
  </w:style>
  <w:style w:type="character" w:customStyle="1" w:styleId="Mencinsinresolver1">
    <w:name w:val="Mención sin resolver1"/>
    <w:basedOn w:val="Fuentedeprrafopredeter"/>
    <w:uiPriority w:val="99"/>
    <w:semiHidden/>
    <w:unhideWhenUsed/>
    <w:qFormat/>
    <w:rPr>
      <w:color w:val="605E5C"/>
      <w:shd w:val="clear" w:color="auto" w:fill="E1DFDD"/>
    </w:rPr>
  </w:style>
  <w:style w:type="table" w:customStyle="1" w:styleId="Tablaconcuadrcula1">
    <w:name w:val="Tabla con cuadrícula1"/>
    <w:basedOn w:val="Tablanormal"/>
    <w:uiPriority w:val="39"/>
    <w:qFormat/>
    <w:rPr>
      <w:rFonts w:ascii="Arial" w:eastAsia="Arial" w:hAnsi="Arial"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21">
    <w:name w:val="Tabla normal 21"/>
    <w:basedOn w:val="Tablanormal"/>
    <w:uiPriority w:val="42"/>
    <w:qFormat/>
    <w:rPr>
      <w:rFonts w:eastAsiaTheme="minorHAnsi"/>
      <w:sz w:val="22"/>
      <w:szCs w:val="22"/>
      <w:lang w:eastAsia="en-US"/>
    </w:rPr>
    <w:tblPr>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concuadrcula1clara-nfasis31">
    <w:name w:val="Tabla con cuadrícula 1 clara - Énfasis 31"/>
    <w:basedOn w:val="Tablanormal"/>
    <w:uiPriority w:val="46"/>
    <w:qFormat/>
    <w:tblPr>
      <w:tblBorders>
        <w:top w:val="single" w:sz="4" w:space="0" w:color="D5D5D5" w:themeColor="accent3" w:themeTint="66"/>
        <w:left w:val="single" w:sz="4" w:space="0" w:color="D5D5D5" w:themeColor="accent3" w:themeTint="66"/>
        <w:bottom w:val="single" w:sz="4" w:space="0" w:color="D5D5D5" w:themeColor="accent3" w:themeTint="66"/>
        <w:right w:val="single" w:sz="4" w:space="0" w:color="D5D5D5" w:themeColor="accent3" w:themeTint="66"/>
        <w:insideH w:val="single" w:sz="4" w:space="0" w:color="D5D5D5" w:themeColor="accent3" w:themeTint="66"/>
        <w:insideV w:val="single" w:sz="4" w:space="0" w:color="D5D5D5" w:themeColor="accent3" w:themeTint="66"/>
      </w:tblBorders>
    </w:tblPr>
    <w:tblStylePr w:type="firstRow">
      <w:rPr>
        <w:b/>
        <w:bCs/>
      </w:rPr>
      <w:tblPr/>
      <w:tcPr>
        <w:tcBorders>
          <w:bottom w:val="single" w:sz="12" w:space="0" w:color="C0C0C0" w:themeColor="accent3" w:themeTint="99"/>
        </w:tcBorders>
      </w:tcPr>
    </w:tblStylePr>
    <w:tblStylePr w:type="lastRow">
      <w:rPr>
        <w:b/>
        <w:bCs/>
      </w:rPr>
      <w:tblPr/>
      <w:tcPr>
        <w:tcBorders>
          <w:top w:val="double" w:sz="2" w:space="0" w:color="C0C0C0" w:themeColor="accent3" w:themeTint="99"/>
        </w:tcBorders>
      </w:tcPr>
    </w:tblStylePr>
    <w:tblStylePr w:type="firstCol">
      <w:rPr>
        <w:b/>
        <w:bCs/>
      </w:rPr>
    </w:tblStylePr>
    <w:tblStylePr w:type="lastCol">
      <w:rPr>
        <w:b/>
        <w:bCs/>
      </w:rPr>
    </w:tblStylePr>
  </w:style>
  <w:style w:type="table" w:customStyle="1" w:styleId="Tablaconcuadrcula1clara1">
    <w:name w:val="Tabla con cuadrícula 1 clara1"/>
    <w:basedOn w:val="Tablanormal"/>
    <w:uiPriority w:val="46"/>
    <w:qFormat/>
    <w:tblPr>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Tablaconcuadrcula1clara-nfasis11">
    <w:name w:val="Tabla con cuadrícula 1 clara - Énfasis 11"/>
    <w:basedOn w:val="Tablanormal"/>
    <w:uiPriority w:val="46"/>
    <w:qFormat/>
    <w:tblPr>
      <w:tblBorders>
        <w:top w:val="single" w:sz="4" w:space="0" w:color="F1F1F1" w:themeColor="accent1" w:themeTint="66"/>
        <w:left w:val="single" w:sz="4" w:space="0" w:color="F1F1F1" w:themeColor="accent1" w:themeTint="66"/>
        <w:bottom w:val="single" w:sz="4" w:space="0" w:color="F1F1F1" w:themeColor="accent1" w:themeTint="66"/>
        <w:right w:val="single" w:sz="4" w:space="0" w:color="F1F1F1" w:themeColor="accent1" w:themeTint="66"/>
        <w:insideH w:val="single" w:sz="4" w:space="0" w:color="F1F1F1" w:themeColor="accent1" w:themeTint="66"/>
        <w:insideV w:val="single" w:sz="4" w:space="0" w:color="F1F1F1" w:themeColor="accent1" w:themeTint="66"/>
      </w:tblBorders>
    </w:tblPr>
    <w:tblStylePr w:type="firstRow">
      <w:rPr>
        <w:b/>
        <w:bCs/>
      </w:rPr>
      <w:tblPr/>
      <w:tcPr>
        <w:tcBorders>
          <w:bottom w:val="single" w:sz="12" w:space="0" w:color="EAEAEA" w:themeColor="accent1" w:themeTint="99"/>
        </w:tcBorders>
      </w:tcPr>
    </w:tblStylePr>
    <w:tblStylePr w:type="lastRow">
      <w:rPr>
        <w:b/>
        <w:bCs/>
      </w:rPr>
      <w:tblPr/>
      <w:tcPr>
        <w:tcBorders>
          <w:top w:val="double" w:sz="2" w:space="0" w:color="EAEAEA" w:themeColor="accent1" w:themeTint="99"/>
        </w:tcBorders>
      </w:tcPr>
    </w:tblStylePr>
    <w:tblStylePr w:type="firstCol">
      <w:rPr>
        <w:b/>
        <w:bCs/>
      </w:rPr>
    </w:tblStylePr>
    <w:tblStylePr w:type="lastCol">
      <w:rPr>
        <w:b/>
        <w:bCs/>
      </w:rPr>
    </w:tblStylePr>
  </w:style>
  <w:style w:type="table" w:customStyle="1" w:styleId="Tablaconcuadrcula1clara-nfasis51">
    <w:name w:val="Tabla con cuadrícula 1 clara - Énfasis 51"/>
    <w:basedOn w:val="Tablanormal"/>
    <w:uiPriority w:val="46"/>
    <w:qFormat/>
    <w:tblPr>
      <w:tblBorders>
        <w:top w:val="single" w:sz="4" w:space="0" w:color="BFBFBF" w:themeColor="accent5" w:themeTint="66"/>
        <w:left w:val="single" w:sz="4" w:space="0" w:color="BFBFBF" w:themeColor="accent5" w:themeTint="66"/>
        <w:bottom w:val="single" w:sz="4" w:space="0" w:color="BFBFBF" w:themeColor="accent5" w:themeTint="66"/>
        <w:right w:val="single" w:sz="4" w:space="0" w:color="BFBFBF" w:themeColor="accent5" w:themeTint="66"/>
        <w:insideH w:val="single" w:sz="4" w:space="0" w:color="BFBFBF" w:themeColor="accent5" w:themeTint="66"/>
        <w:insideV w:val="single" w:sz="4" w:space="0" w:color="BFBFBF" w:themeColor="accent5" w:themeTint="66"/>
      </w:tblBorders>
    </w:tblPr>
    <w:tblStylePr w:type="firstRow">
      <w:rPr>
        <w:b/>
        <w:bCs/>
      </w:rPr>
      <w:tblPr/>
      <w:tcPr>
        <w:tcBorders>
          <w:bottom w:val="single" w:sz="12" w:space="0" w:color="9F9F9F" w:themeColor="accent5" w:themeTint="99"/>
        </w:tcBorders>
      </w:tcPr>
    </w:tblStylePr>
    <w:tblStylePr w:type="lastRow">
      <w:rPr>
        <w:b/>
        <w:bCs/>
      </w:rPr>
      <w:tblPr/>
      <w:tcPr>
        <w:tcBorders>
          <w:top w:val="double" w:sz="2" w:space="0" w:color="9F9F9F" w:themeColor="accent5" w:themeTint="99"/>
        </w:tcBorders>
      </w:tcPr>
    </w:tblStylePr>
    <w:tblStylePr w:type="firstCol">
      <w:rPr>
        <w:b/>
        <w:bCs/>
      </w:rPr>
    </w:tblStylePr>
    <w:tblStylePr w:type="lastCol">
      <w:rPr>
        <w:b/>
        <w:bCs/>
      </w:rPr>
    </w:tblStylePr>
  </w:style>
  <w:style w:type="table" w:customStyle="1" w:styleId="Tablaconcuadrcula1clara-nfasis61">
    <w:name w:val="Tabla con cuadrícula 1 clara - Énfasis 61"/>
    <w:basedOn w:val="Tablanormal"/>
    <w:uiPriority w:val="46"/>
    <w:qFormat/>
    <w:tblPr>
      <w:tblBorders>
        <w:top w:val="single" w:sz="4" w:space="0" w:color="B7B7B7" w:themeColor="accent6" w:themeTint="66"/>
        <w:left w:val="single" w:sz="4" w:space="0" w:color="B7B7B7" w:themeColor="accent6" w:themeTint="66"/>
        <w:bottom w:val="single" w:sz="4" w:space="0" w:color="B7B7B7" w:themeColor="accent6" w:themeTint="66"/>
        <w:right w:val="single" w:sz="4" w:space="0" w:color="B7B7B7" w:themeColor="accent6" w:themeTint="66"/>
        <w:insideH w:val="single" w:sz="4" w:space="0" w:color="B7B7B7" w:themeColor="accent6" w:themeTint="66"/>
        <w:insideV w:val="single" w:sz="4" w:space="0" w:color="B7B7B7" w:themeColor="accent6" w:themeTint="66"/>
      </w:tblBorders>
    </w:tblPr>
    <w:tblStylePr w:type="firstRow">
      <w:rPr>
        <w:b/>
        <w:bCs/>
      </w:rPr>
      <w:tblPr/>
      <w:tcPr>
        <w:tcBorders>
          <w:bottom w:val="single" w:sz="12" w:space="0" w:color="949494" w:themeColor="accent6" w:themeTint="99"/>
        </w:tcBorders>
      </w:tcPr>
    </w:tblStylePr>
    <w:tblStylePr w:type="lastRow">
      <w:rPr>
        <w:b/>
        <w:bCs/>
      </w:rPr>
      <w:tblPr/>
      <w:tcPr>
        <w:tcBorders>
          <w:top w:val="double" w:sz="2" w:space="0" w:color="949494" w:themeColor="accent6"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15C320B6-FAED-4434-B185-FE11A770F8CB}"/>
      </w:docPartPr>
      <w:docPartBody>
        <w:p w:rsidR="00152C98" w:rsidRDefault="00000000">
          <w:r>
            <w:rPr>
              <w:rStyle w:val="Textodelmarcadordeposicin"/>
              <w:color w:val="404040" w:themeColor="text1" w:themeTint="BF"/>
            </w:rPr>
            <w:t>Haga clic o pulse aquí para escribir texto.</w:t>
          </w:r>
        </w:p>
      </w:docPartBody>
    </w:docPart>
    <w:docPart>
      <w:docPartPr>
        <w:name w:val="6F1C358CF3E6489295C6C762293D9035"/>
        <w:category>
          <w:name w:val="General"/>
          <w:gallery w:val="placeholder"/>
        </w:category>
        <w:types>
          <w:type w:val="bbPlcHdr"/>
        </w:types>
        <w:behaviors>
          <w:behavior w:val="content"/>
        </w:behaviors>
        <w:guid w:val="{12DDAB01-4861-49C8-A5ED-15C628FEE064}"/>
      </w:docPartPr>
      <w:docPartBody>
        <w:p w:rsidR="00152C98" w:rsidRDefault="00000000">
          <w:pPr>
            <w:pStyle w:val="6F1C358CF3E6489295C6C762293D9035"/>
          </w:pPr>
          <w:r>
            <w:rPr>
              <w:rStyle w:val="Textodelmarcadordeposicin"/>
              <w:color w:val="404040" w:themeColor="text1" w:themeTint="BF"/>
            </w:rPr>
            <w:t>Haga clic o pulse aquí para escribir texto.</w:t>
          </w:r>
        </w:p>
      </w:docPartBody>
    </w:docPart>
    <w:docPart>
      <w:docPartPr>
        <w:name w:val="6FBE3003E7FD4141B634ACFA0599E251"/>
        <w:category>
          <w:name w:val="General"/>
          <w:gallery w:val="placeholder"/>
        </w:category>
        <w:types>
          <w:type w:val="bbPlcHdr"/>
        </w:types>
        <w:behaviors>
          <w:behavior w:val="content"/>
        </w:behaviors>
        <w:guid w:val="{BD875DD0-91CC-4505-9B2C-0565FE16D937}"/>
      </w:docPartPr>
      <w:docPartBody>
        <w:p w:rsidR="00152C98" w:rsidRDefault="00000000">
          <w:pPr>
            <w:pStyle w:val="6FBE3003E7FD4141B634ACFA0599E251"/>
          </w:pPr>
          <w:r>
            <w:rPr>
              <w:rStyle w:val="Textodelmarcadordeposicin"/>
              <w:color w:val="404040" w:themeColor="text1" w:themeTint="BF"/>
            </w:rPr>
            <w:t>Haga clic o pulse aquí para escribir texto.</w:t>
          </w:r>
        </w:p>
      </w:docPartBody>
    </w:docPart>
    <w:docPart>
      <w:docPartPr>
        <w:name w:val="F167FBC3C95D469F9544BB58B4686B3F"/>
        <w:category>
          <w:name w:val="General"/>
          <w:gallery w:val="placeholder"/>
        </w:category>
        <w:types>
          <w:type w:val="bbPlcHdr"/>
        </w:types>
        <w:behaviors>
          <w:behavior w:val="content"/>
        </w:behaviors>
        <w:guid w:val="{A1534EAD-E934-4D56-981D-152D88530591}"/>
      </w:docPartPr>
      <w:docPartBody>
        <w:p w:rsidR="00152C98" w:rsidRDefault="00000000">
          <w:pPr>
            <w:pStyle w:val="F167FBC3C95D469F9544BB58B4686B3F"/>
          </w:pPr>
          <w:r>
            <w:rPr>
              <w:rStyle w:val="Textodelmarcadordeposicin"/>
              <w:color w:val="404040" w:themeColor="text1" w:themeTint="BF"/>
            </w:rPr>
            <w:t>Haga clic o pulse aquí para escribir texto.</w:t>
          </w:r>
        </w:p>
      </w:docPartBody>
    </w:docPart>
    <w:docPart>
      <w:docPartPr>
        <w:name w:val="AA00B44AA3464E4986C73BA490D87D50"/>
        <w:category>
          <w:name w:val="General"/>
          <w:gallery w:val="placeholder"/>
        </w:category>
        <w:types>
          <w:type w:val="bbPlcHdr"/>
        </w:types>
        <w:behaviors>
          <w:behavior w:val="content"/>
        </w:behaviors>
        <w:guid w:val="{0B93F449-AA4C-42D1-8C16-948BD5F5ADE6}"/>
      </w:docPartPr>
      <w:docPartBody>
        <w:p w:rsidR="00152C98" w:rsidRDefault="00000000">
          <w:pPr>
            <w:pStyle w:val="AA00B44AA3464E4986C73BA490D87D50"/>
          </w:pPr>
          <w:r>
            <w:rPr>
              <w:rStyle w:val="Textodelmarcadordeposicin"/>
              <w:color w:val="404040" w:themeColor="text1" w:themeTint="BF"/>
            </w:rPr>
            <w:t>Haga clic o pulse aquí para escribir texto.</w:t>
          </w:r>
        </w:p>
      </w:docPartBody>
    </w:docPart>
    <w:docPart>
      <w:docPartPr>
        <w:name w:val="F9EC021D40514AEBBA8647FECEF27C8F"/>
        <w:category>
          <w:name w:val="General"/>
          <w:gallery w:val="placeholder"/>
        </w:category>
        <w:types>
          <w:type w:val="bbPlcHdr"/>
        </w:types>
        <w:behaviors>
          <w:behavior w:val="content"/>
        </w:behaviors>
        <w:guid w:val="{BB0DCFFD-DE31-487A-ACEF-DD387AB2FA06}"/>
      </w:docPartPr>
      <w:docPartBody>
        <w:p w:rsidR="00152C98" w:rsidRDefault="00000000">
          <w:pPr>
            <w:pStyle w:val="F9EC021D40514AEBBA8647FECEF27C8F"/>
          </w:pPr>
          <w:r>
            <w:rPr>
              <w:rStyle w:val="Textodelmarcadordeposicin"/>
              <w:color w:val="404040" w:themeColor="text1" w:themeTint="BF"/>
            </w:rPr>
            <w:t>Haga clic o pulse aquí para escribir texto.</w:t>
          </w:r>
        </w:p>
      </w:docPartBody>
    </w:docPart>
  </w:docParts>
</w:glossaryDocument>
</file>

<file path=word/glossary/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51346" w:rsidRDefault="00D51346">
      <w:pPr>
        <w:spacing w:line="240" w:lineRule="auto"/>
      </w:pPr>
      <w:r>
        <w:separator/>
      </w:r>
    </w:p>
  </w:endnote>
  <w:endnote w:type="continuationSeparator" w:id="0">
    <w:p w:rsidR="00D51346" w:rsidRDefault="00D51346">
      <w:pPr>
        <w:spacing w:line="240" w:lineRule="auto"/>
      </w:pPr>
      <w:r>
        <w:continuationSeparator/>
      </w:r>
    </w:p>
  </w:endnote>
</w:endnotes>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Consolas">
    <w:panose1 w:val="020B0609020204030204"/>
    <w:charset w:val="00"/>
    <w:family w:val="modern"/>
    <w:pitch w:val="default"/>
    <w:sig w:usb0="E00006FF" w:usb1="0000FCFF" w:usb2="00000001" w:usb3="00000000" w:csb0="6000019F" w:csb1="DFD70000"/>
  </w:font>
  <w:font w:name="Segoe UI">
    <w:panose1 w:val="020B0502040204020203"/>
    <w:charset w:val="00"/>
    <w:family w:val="swiss"/>
    <w:pitch w:val="default"/>
    <w:sig w:usb0="E4002EFF" w:usb1="C000E47F" w:usb2="00000009" w:usb3="00000000" w:csb0="200001FF" w:csb1="00000000"/>
  </w:font>
  <w:font w:name="Arial">
    <w:panose1 w:val="020B0604020202020204"/>
    <w:charset w:val="00"/>
    <w:family w:val="swiss"/>
    <w:pitch w:val="variable"/>
    <w:sig w:usb0="E0002EFF" w:usb1="C000785B" w:usb2="00000009" w:usb3="00000000" w:csb0="000001FF" w:csb1="00000000"/>
  </w:font>
  <w:font w:name="Google Sans">
    <w:altName w:val="Liberation Mono"/>
    <w:charset w:val="00"/>
    <w:family w:val="auto"/>
    <w:pitch w:val="default"/>
  </w:font>
  <w:font w:name="Google Sans Text">
    <w:altName w:val="Calibri"/>
    <w:charset w:val="00"/>
    <w:family w:val="auto"/>
    <w:pitch w:val="default"/>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s>
</file>

<file path=word/glossary/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51346" w:rsidRDefault="00D51346">
      <w:pPr>
        <w:spacing w:after="0"/>
      </w:pPr>
      <w:r>
        <w:separator/>
      </w:r>
    </w:p>
  </w:footnote>
  <w:footnote w:type="continuationSeparator" w:id="0">
    <w:p w:rsidR="00D51346" w:rsidRDefault="00D51346">
      <w:pPr>
        <w:spacing w:after="0"/>
      </w:pPr>
      <w:r>
        <w:continuationSeparator/>
      </w:r>
    </w:p>
  </w:footnote>
</w:footnote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37AC"/>
    <w:rsid w:val="00076C0D"/>
    <w:rsid w:val="00082DB5"/>
    <w:rsid w:val="00113F89"/>
    <w:rsid w:val="00151D7E"/>
    <w:rsid w:val="00152C98"/>
    <w:rsid w:val="0016443A"/>
    <w:rsid w:val="001B3C10"/>
    <w:rsid w:val="001B546E"/>
    <w:rsid w:val="001E56FB"/>
    <w:rsid w:val="00224D33"/>
    <w:rsid w:val="0023626A"/>
    <w:rsid w:val="00275922"/>
    <w:rsid w:val="00284C2A"/>
    <w:rsid w:val="002A6639"/>
    <w:rsid w:val="002F756F"/>
    <w:rsid w:val="00336D6F"/>
    <w:rsid w:val="0036648B"/>
    <w:rsid w:val="004472DC"/>
    <w:rsid w:val="00462DC3"/>
    <w:rsid w:val="00477357"/>
    <w:rsid w:val="00484183"/>
    <w:rsid w:val="004C229A"/>
    <w:rsid w:val="004D3436"/>
    <w:rsid w:val="00524F2E"/>
    <w:rsid w:val="005B5FA1"/>
    <w:rsid w:val="00606384"/>
    <w:rsid w:val="00624D90"/>
    <w:rsid w:val="00685ED1"/>
    <w:rsid w:val="006A6BA6"/>
    <w:rsid w:val="006D301A"/>
    <w:rsid w:val="00765571"/>
    <w:rsid w:val="008334BD"/>
    <w:rsid w:val="00A21A4A"/>
    <w:rsid w:val="00AA348B"/>
    <w:rsid w:val="00B35269"/>
    <w:rsid w:val="00B437AC"/>
    <w:rsid w:val="00B60D7C"/>
    <w:rsid w:val="00B9317A"/>
    <w:rsid w:val="00BC2303"/>
    <w:rsid w:val="00BD40E1"/>
    <w:rsid w:val="00C12336"/>
    <w:rsid w:val="00CC78D1"/>
    <w:rsid w:val="00D1415E"/>
    <w:rsid w:val="00D23F61"/>
    <w:rsid w:val="00D51346"/>
    <w:rsid w:val="00DA1F7B"/>
    <w:rsid w:val="00DF192A"/>
    <w:rsid w:val="00E25F3A"/>
    <w:rsid w:val="00E4669C"/>
    <w:rsid w:val="00ED69C5"/>
    <w:rsid w:val="00F92A66"/>
    <w:rsid w:val="00FD5969"/>
  </w:rsids>
  <m:mathPr>
    <m:mathFont m:val="Cambria Math"/>
    <m:brkBin m:val="before"/>
    <m:brkBinSub m:val="--"/>
    <m:smallFrac m:val="0"/>
    <m:dispDef/>
    <m:lMargin m:val="0"/>
    <m:rMargin m:val="0"/>
    <m:defJc m:val="centerGroup"/>
    <m:wrapIndent m:val="1440"/>
    <m:intLim m:val="subSup"/>
    <m:naryLim m:val="undOvr"/>
  </m:mathPr>
  <w:themeFontLang w:val="es-CO"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s-CO" w:eastAsia="es-CO" w:bidi="ar-SA"/>
      </w:rPr>
    </w:rPrDefault>
    <w:pPrDefault/>
  </w:docDefaults>
  <w:latentStyles w:defLockedState="0" w:defUIPriority="99" w:defSemiHidden="0" w:defUnhideWhenUsed="0" w:defQFormat="0" w:count="376">
    <w:lsdException w:name="Normal" w:uiPriority="0" w:qFormat="1"/>
    <w:lsdException w:name="heading 1" w:semiHidden="1" w:unhideWhenUsed="1"/>
    <w:lsdException w:name="heading 2" w:semiHidden="1" w:unhideWhenUsed="1"/>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nhideWhenUsed="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nhideWhenUsed="1"/>
    <w:lsdException w:name="Emphasis"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qFormat="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78" w:lineRule="auto"/>
    </w:pPr>
    <w:rPr>
      <w:kern w:val="2"/>
      <w:sz w:val="24"/>
      <w:szCs w:val="24"/>
      <w14:ligatures w14:val="standardContextua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qFormat/>
    <w:rPr>
      <w:color w:val="404040" w:themeColor="text1" w:themeTint="BF"/>
    </w:rPr>
  </w:style>
  <w:style w:type="paragraph" w:customStyle="1" w:styleId="6F1C358CF3E6489295C6C762293D9035">
    <w:name w:val="6F1C358CF3E6489295C6C762293D9035"/>
    <w:qFormat/>
    <w:pPr>
      <w:spacing w:after="160" w:line="278" w:lineRule="auto"/>
    </w:pPr>
    <w:rPr>
      <w:kern w:val="2"/>
      <w:sz w:val="24"/>
      <w:szCs w:val="24"/>
      <w14:ligatures w14:val="standardContextual"/>
    </w:rPr>
  </w:style>
  <w:style w:type="paragraph" w:customStyle="1" w:styleId="6FBE3003E7FD4141B634ACFA0599E251">
    <w:name w:val="6FBE3003E7FD4141B634ACFA0599E251"/>
    <w:qFormat/>
    <w:pPr>
      <w:spacing w:after="160" w:line="278" w:lineRule="auto"/>
    </w:pPr>
    <w:rPr>
      <w:kern w:val="2"/>
      <w:sz w:val="24"/>
      <w:szCs w:val="24"/>
      <w14:ligatures w14:val="standardContextual"/>
    </w:rPr>
  </w:style>
  <w:style w:type="paragraph" w:customStyle="1" w:styleId="F167FBC3C95D469F9544BB58B4686B3F">
    <w:name w:val="F167FBC3C95D469F9544BB58B4686B3F"/>
    <w:qFormat/>
    <w:pPr>
      <w:spacing w:after="160" w:line="278" w:lineRule="auto"/>
    </w:pPr>
    <w:rPr>
      <w:kern w:val="2"/>
      <w:sz w:val="24"/>
      <w:szCs w:val="24"/>
      <w14:ligatures w14:val="standardContextual"/>
    </w:rPr>
  </w:style>
  <w:style w:type="paragraph" w:customStyle="1" w:styleId="AA00B44AA3464E4986C73BA490D87D50">
    <w:name w:val="AA00B44AA3464E4986C73BA490D87D50"/>
    <w:qFormat/>
    <w:pPr>
      <w:spacing w:after="160" w:line="278" w:lineRule="auto"/>
    </w:pPr>
    <w:rPr>
      <w:kern w:val="2"/>
      <w:sz w:val="24"/>
      <w:szCs w:val="24"/>
      <w14:ligatures w14:val="standardContextual"/>
    </w:rPr>
  </w:style>
  <w:style w:type="paragraph" w:customStyle="1" w:styleId="F9EC021D40514AEBBA8647FECEF27C8F">
    <w:name w:val="F9EC021D40514AEBBA8647FECEF27C8F"/>
    <w:qFormat/>
    <w:pPr>
      <w:spacing w:after="160"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Times New Roman">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SelectedStyle="\APASixthEditionOfficeOnline.xsl" StyleName="APA" Version="6">
  <b:Source>
    <b:Tag>Article</b:Tag>
    <b:SourceType>JournalArticle</b:SourceType>
    <b:Guid>{A9826F97-9AB6-4323-9880-F46D9FA5FDF4}</b:Guid>
    <b:Title>Article Title</b:Title>
    <b:Year>Year</b:Year>
    <b:JournalName>Journal Title</b:JournalName>
    <b:Pages>Pages From - To</b:Pages>
    <b:Author>
      <b:Author>
        <b:NameList>
          <b:Person>
            <b:Last>Last Name</b:Last>
            <b:First>First,</b:First>
            <b:Middle>Middle</b:Middle>
          </b:Person>
        </b:NameList>
      </b:Author>
    </b:Author>
    <b:RefOrder>1</b:RefOrder>
  </b:Source>
  <b:Source>
    <b:Tag>Last</b:Tag>
    <b:SourceType>Book</b:SourceType>
    <b:Guid>{60AAA012-579D-4CB3-B717-40E27E8995F9}</b:Guid>
    <b:Title>Book Title</b:Title>
    <b:Year>Year</b:Year>
    <b:City>City Name</b:City>
    <b:Publisher>Publisher Name</b:Publisher>
    <b:Author>
      <b:Author>
        <b:NameList>
          <b:Person>
            <b:Last>Last Name</b:Last>
            <b:First>First,</b:First>
            <b:Middle>Middle</b:Middle>
          </b:Person>
        </b:NameList>
      </b:Author>
    </b:Author>
    <b:RefOrder>2</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0A9C576-2889-4499-881B-DA25AC2A57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62</Pages>
  <Words>15333</Words>
  <Characters>84336</Characters>
  <Application>Microsoft Office Word</Application>
  <DocSecurity>0</DocSecurity>
  <Lines>702</Lines>
  <Paragraphs>198</Paragraphs>
  <ScaleCrop>false</ScaleCrop>
  <Company/>
  <LinksUpToDate>false</LinksUpToDate>
  <CharactersWithSpaces>99471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Luz Niebles</dc:creator>
  <cp:lastModifiedBy>Luz Niebles</cp:lastModifiedBy>
  <cp:revision>2</cp:revision>
  <dcterms:created xsi:type="dcterms:W3CDTF">2025-11-07T16:46:00Z</dcterms:created>
  <dcterms:modified xsi:type="dcterms:W3CDTF">2025-11-07T16:46:00Z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3082-12.2.0.21931</vt:lpwstr>
  </property>
  <property fmtid="{D5CDD505-2E9C-101B-9397-08002B2CF9AE}" pid="3" name="ICV">
    <vt:lpwstr>70EC353847E24FA488D489DF0D09E673_13</vt:lpwstr>
  </property>
</Properties>
</file>