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BB583" w14:textId="216E489E" w:rsidR="000759BE" w:rsidRDefault="005325B5" w:rsidP="005325B5">
      <w:pPr>
        <w:spacing w:before="240" w:line="480" w:lineRule="auto"/>
        <w:ind w:right="360"/>
        <w:jc w:val="center"/>
        <w:rPr>
          <w:rFonts w:ascii="Times New Roman" w:eastAsia="Times New Roman" w:hAnsi="Times New Roman" w:cs="Times New Roman"/>
          <w:b/>
          <w:bCs/>
          <w:sz w:val="24"/>
          <w:szCs w:val="24"/>
        </w:rPr>
      </w:pPr>
      <w:r w:rsidRPr="005325B5">
        <w:rPr>
          <w:rFonts w:ascii="Times New Roman" w:eastAsia="Times New Roman" w:hAnsi="Times New Roman" w:cs="Times New Roman"/>
          <w:b/>
          <w:bCs/>
          <w:sz w:val="24"/>
          <w:szCs w:val="24"/>
        </w:rPr>
        <w:t>Análisis del Concepto de Soberanía y sus Límites en un Mundo Globalizado</w:t>
      </w:r>
    </w:p>
    <w:p w14:paraId="1DB49DAC" w14:textId="77777777" w:rsidR="005325B5" w:rsidRDefault="005325B5" w:rsidP="005325B5">
      <w:pPr>
        <w:spacing w:before="240" w:line="480" w:lineRule="auto"/>
        <w:ind w:right="360"/>
        <w:jc w:val="center"/>
        <w:rPr>
          <w:rFonts w:ascii="Times New Roman" w:eastAsia="Times New Roman" w:hAnsi="Times New Roman" w:cs="Times New Roman"/>
          <w:b/>
          <w:bCs/>
          <w:sz w:val="24"/>
          <w:szCs w:val="24"/>
        </w:rPr>
      </w:pPr>
    </w:p>
    <w:p w14:paraId="39FCF21A" w14:textId="77777777" w:rsidR="004A7DCC" w:rsidRPr="004A7DCC" w:rsidRDefault="004A7DCC" w:rsidP="004A7DCC">
      <w:pPr>
        <w:spacing w:before="240" w:line="480" w:lineRule="auto"/>
        <w:ind w:right="360"/>
        <w:jc w:val="center"/>
        <w:rPr>
          <w:rFonts w:ascii="Times New Roman" w:eastAsia="Times New Roman" w:hAnsi="Times New Roman" w:cs="Times New Roman"/>
          <w:sz w:val="24"/>
          <w:szCs w:val="24"/>
        </w:rPr>
      </w:pPr>
      <w:r w:rsidRPr="004A7DCC">
        <w:rPr>
          <w:rFonts w:ascii="Times New Roman" w:eastAsia="Times New Roman" w:hAnsi="Times New Roman" w:cs="Times New Roman"/>
          <w:sz w:val="24"/>
          <w:szCs w:val="24"/>
        </w:rPr>
        <w:t>María Tatiana Mejía Pérez</w:t>
      </w:r>
    </w:p>
    <w:p w14:paraId="0CCAD996" w14:textId="77777777" w:rsidR="004A7DCC" w:rsidRPr="003A0B5B" w:rsidRDefault="004A7DCC" w:rsidP="004A7DCC">
      <w:pPr>
        <w:spacing w:before="240" w:line="480" w:lineRule="auto"/>
        <w:ind w:right="360"/>
        <w:jc w:val="center"/>
        <w:rPr>
          <w:rFonts w:ascii="Times New Roman" w:eastAsia="Times New Roman" w:hAnsi="Times New Roman" w:cs="Times New Roman"/>
          <w:sz w:val="24"/>
          <w:szCs w:val="24"/>
        </w:rPr>
      </w:pPr>
    </w:p>
    <w:p w14:paraId="62C3B158" w14:textId="77777777" w:rsidR="00A2053E" w:rsidRPr="003A0B5B" w:rsidRDefault="00A2053E" w:rsidP="00A87358">
      <w:pPr>
        <w:spacing w:before="240" w:line="480" w:lineRule="auto"/>
        <w:ind w:right="360"/>
        <w:rPr>
          <w:rFonts w:ascii="Times New Roman" w:eastAsia="Times New Roman" w:hAnsi="Times New Roman" w:cs="Times New Roman"/>
          <w:sz w:val="24"/>
          <w:szCs w:val="24"/>
        </w:rPr>
      </w:pPr>
    </w:p>
    <w:p w14:paraId="553DA75F" w14:textId="4DEA6917" w:rsidR="004A7DCC" w:rsidRDefault="004A7DCC" w:rsidP="00A2053E">
      <w:pPr>
        <w:spacing w:before="240" w:line="480" w:lineRule="auto"/>
        <w:ind w:right="360"/>
        <w:jc w:val="center"/>
        <w:rPr>
          <w:rFonts w:ascii="Times New Roman" w:eastAsia="Times New Roman" w:hAnsi="Times New Roman" w:cs="Times New Roman"/>
          <w:sz w:val="24"/>
          <w:szCs w:val="24"/>
        </w:rPr>
      </w:pPr>
      <w:r w:rsidRPr="004A7DCC">
        <w:rPr>
          <w:rFonts w:ascii="Times New Roman" w:eastAsia="Times New Roman" w:hAnsi="Times New Roman" w:cs="Times New Roman"/>
          <w:sz w:val="24"/>
          <w:szCs w:val="24"/>
        </w:rPr>
        <w:t>Universidad Autónoma del Caribe</w:t>
      </w:r>
    </w:p>
    <w:p w14:paraId="0C8C5E0F" w14:textId="77777777" w:rsidR="00A87358" w:rsidRPr="003A0B5B" w:rsidRDefault="00A87358" w:rsidP="00A2053E">
      <w:pPr>
        <w:spacing w:before="240" w:line="480" w:lineRule="auto"/>
        <w:ind w:right="360"/>
        <w:jc w:val="center"/>
        <w:rPr>
          <w:rFonts w:ascii="Times New Roman" w:eastAsia="Times New Roman" w:hAnsi="Times New Roman" w:cs="Times New Roman"/>
          <w:sz w:val="24"/>
          <w:szCs w:val="24"/>
        </w:rPr>
      </w:pPr>
    </w:p>
    <w:p w14:paraId="788D29EA" w14:textId="6E5696F8" w:rsidR="004A7DCC" w:rsidRPr="003A0B5B" w:rsidRDefault="004A7DCC" w:rsidP="00A2053E">
      <w:pPr>
        <w:spacing w:before="240" w:line="480" w:lineRule="auto"/>
        <w:ind w:right="360"/>
        <w:jc w:val="center"/>
        <w:rPr>
          <w:rFonts w:ascii="Times New Roman" w:eastAsia="Times New Roman" w:hAnsi="Times New Roman" w:cs="Times New Roman"/>
          <w:sz w:val="24"/>
          <w:szCs w:val="24"/>
        </w:rPr>
      </w:pPr>
      <w:r w:rsidRPr="004A7DCC">
        <w:rPr>
          <w:rFonts w:ascii="Times New Roman" w:eastAsia="Times New Roman" w:hAnsi="Times New Roman" w:cs="Times New Roman"/>
          <w:sz w:val="24"/>
          <w:szCs w:val="24"/>
        </w:rPr>
        <w:t>Facultad de Jurisprudencia</w:t>
      </w:r>
    </w:p>
    <w:p w14:paraId="7D61F6B8" w14:textId="77777777" w:rsidR="002916AF" w:rsidRPr="003A0B5B" w:rsidRDefault="002916AF" w:rsidP="00A2053E">
      <w:pPr>
        <w:spacing w:before="240" w:line="480" w:lineRule="auto"/>
        <w:ind w:right="360"/>
        <w:jc w:val="center"/>
        <w:rPr>
          <w:rFonts w:ascii="Times New Roman" w:eastAsia="Times New Roman" w:hAnsi="Times New Roman" w:cs="Times New Roman"/>
          <w:sz w:val="24"/>
          <w:szCs w:val="24"/>
        </w:rPr>
      </w:pPr>
    </w:p>
    <w:p w14:paraId="704D2B1C" w14:textId="2B0E36DC" w:rsidR="004A7DCC" w:rsidRPr="004A7DCC" w:rsidRDefault="004A7DCC" w:rsidP="002916AF">
      <w:pPr>
        <w:spacing w:before="240" w:line="480" w:lineRule="auto"/>
        <w:ind w:right="360"/>
        <w:jc w:val="center"/>
        <w:rPr>
          <w:rFonts w:ascii="Times New Roman" w:eastAsia="Times New Roman" w:hAnsi="Times New Roman" w:cs="Times New Roman"/>
          <w:sz w:val="24"/>
          <w:szCs w:val="24"/>
        </w:rPr>
      </w:pPr>
      <w:r w:rsidRPr="004A7DCC">
        <w:rPr>
          <w:rFonts w:ascii="Times New Roman" w:eastAsia="Times New Roman" w:hAnsi="Times New Roman" w:cs="Times New Roman"/>
          <w:sz w:val="24"/>
          <w:szCs w:val="24"/>
        </w:rPr>
        <w:t>Programa de Ciencia</w:t>
      </w:r>
      <w:r w:rsidR="00A91DC6" w:rsidRPr="003A0B5B">
        <w:rPr>
          <w:rFonts w:ascii="Times New Roman" w:eastAsia="Times New Roman" w:hAnsi="Times New Roman" w:cs="Times New Roman"/>
          <w:sz w:val="24"/>
          <w:szCs w:val="24"/>
        </w:rPr>
        <w:t>s</w:t>
      </w:r>
      <w:r w:rsidRPr="004A7DCC">
        <w:rPr>
          <w:rFonts w:ascii="Times New Roman" w:eastAsia="Times New Roman" w:hAnsi="Times New Roman" w:cs="Times New Roman"/>
          <w:sz w:val="24"/>
          <w:szCs w:val="24"/>
        </w:rPr>
        <w:t xml:space="preserve"> Política</w:t>
      </w:r>
      <w:r w:rsidR="00A91DC6" w:rsidRPr="003A0B5B">
        <w:rPr>
          <w:rFonts w:ascii="Times New Roman" w:eastAsia="Times New Roman" w:hAnsi="Times New Roman" w:cs="Times New Roman"/>
          <w:sz w:val="24"/>
          <w:szCs w:val="24"/>
        </w:rPr>
        <w:t>s</w:t>
      </w:r>
    </w:p>
    <w:p w14:paraId="102EA9C5" w14:textId="77777777" w:rsidR="004A7DCC" w:rsidRDefault="004A7DCC" w:rsidP="004A7DCC">
      <w:pPr>
        <w:spacing w:before="240" w:line="480" w:lineRule="auto"/>
        <w:ind w:right="360"/>
        <w:jc w:val="center"/>
        <w:rPr>
          <w:rFonts w:ascii="Times New Roman" w:eastAsia="Times New Roman" w:hAnsi="Times New Roman" w:cs="Times New Roman"/>
          <w:b/>
          <w:bCs/>
          <w:sz w:val="24"/>
          <w:szCs w:val="24"/>
        </w:rPr>
      </w:pPr>
    </w:p>
    <w:p w14:paraId="51E55A58" w14:textId="556A058B" w:rsidR="00A2053E" w:rsidRDefault="00A2053E" w:rsidP="002916AF">
      <w:pPr>
        <w:spacing w:before="240" w:line="480" w:lineRule="auto"/>
        <w:ind w:right="360"/>
        <w:rPr>
          <w:rFonts w:ascii="Times New Roman" w:eastAsia="Times New Roman" w:hAnsi="Times New Roman" w:cs="Times New Roman"/>
          <w:b/>
          <w:bCs/>
          <w:sz w:val="24"/>
          <w:szCs w:val="24"/>
        </w:rPr>
      </w:pPr>
    </w:p>
    <w:p w14:paraId="292A24F3" w14:textId="77777777" w:rsidR="0033013F" w:rsidRDefault="00A2053E" w:rsidP="0033013F">
      <w:pPr>
        <w:spacing w:before="240" w:line="240" w:lineRule="auto"/>
        <w:ind w:right="360"/>
        <w:jc w:val="right"/>
        <w:rPr>
          <w:rFonts w:ascii="Times New Roman" w:eastAsia="Times New Roman" w:hAnsi="Times New Roman" w:cs="Times New Roman"/>
          <w:sz w:val="24"/>
          <w:szCs w:val="24"/>
        </w:rPr>
      </w:pPr>
      <w:r w:rsidRPr="00A2053E">
        <w:rPr>
          <w:rFonts w:ascii="Times New Roman" w:eastAsia="Times New Roman" w:hAnsi="Times New Roman" w:cs="Times New Roman"/>
          <w:b/>
          <w:bCs/>
          <w:sz w:val="24"/>
          <w:szCs w:val="24"/>
        </w:rPr>
        <w:t>Nota de autor</w:t>
      </w:r>
      <w:r w:rsidRPr="00A2053E">
        <w:rPr>
          <w:rFonts w:ascii="Times New Roman" w:eastAsia="Times New Roman" w:hAnsi="Times New Roman" w:cs="Times New Roman"/>
          <w:b/>
          <w:bCs/>
          <w:sz w:val="24"/>
          <w:szCs w:val="24"/>
        </w:rPr>
        <w:br/>
      </w:r>
    </w:p>
    <w:p w14:paraId="2D47029A" w14:textId="7E6CA606" w:rsidR="000C1440" w:rsidRDefault="00A2053E" w:rsidP="0033013F">
      <w:pPr>
        <w:spacing w:before="240" w:line="240" w:lineRule="auto"/>
        <w:ind w:right="360"/>
        <w:jc w:val="both"/>
        <w:rPr>
          <w:rFonts w:ascii="Times New Roman" w:eastAsia="Times New Roman" w:hAnsi="Times New Roman" w:cs="Times New Roman"/>
          <w:sz w:val="24"/>
          <w:szCs w:val="24"/>
        </w:rPr>
      </w:pPr>
      <w:r w:rsidRPr="00A2053E">
        <w:rPr>
          <w:rFonts w:ascii="Times New Roman" w:eastAsia="Times New Roman" w:hAnsi="Times New Roman" w:cs="Times New Roman"/>
          <w:sz w:val="24"/>
          <w:szCs w:val="24"/>
        </w:rPr>
        <w:t>María Tatiana Mejía Pérez, Programa de Ciencias Políticas, Facultad de Jurisprudencia, Universidad Autónoma del Caribe.</w:t>
      </w:r>
    </w:p>
    <w:p w14:paraId="579764A6" w14:textId="30865A68" w:rsidR="00A2053E" w:rsidRPr="00A2053E" w:rsidRDefault="00A2053E" w:rsidP="0033013F">
      <w:pPr>
        <w:spacing w:before="240" w:line="240" w:lineRule="auto"/>
        <w:ind w:right="360"/>
        <w:jc w:val="both"/>
        <w:rPr>
          <w:rFonts w:ascii="Times New Roman" w:eastAsia="Times New Roman" w:hAnsi="Times New Roman" w:cs="Times New Roman"/>
          <w:sz w:val="24"/>
          <w:szCs w:val="24"/>
        </w:rPr>
      </w:pPr>
      <w:r w:rsidRPr="00A2053E">
        <w:rPr>
          <w:rFonts w:ascii="Times New Roman" w:eastAsia="Times New Roman" w:hAnsi="Times New Roman" w:cs="Times New Roman"/>
          <w:sz w:val="24"/>
          <w:szCs w:val="24"/>
        </w:rPr>
        <w:t>La presente tesis de grado fue elaborada como requisito para optar al título profesional en Ciencia Política.</w:t>
      </w:r>
    </w:p>
    <w:p w14:paraId="737B31CC" w14:textId="387386D5" w:rsidR="00A2053E" w:rsidRPr="000C1440" w:rsidRDefault="00A2053E" w:rsidP="0033013F">
      <w:pPr>
        <w:spacing w:before="240" w:line="240" w:lineRule="auto"/>
        <w:ind w:right="360"/>
        <w:jc w:val="both"/>
        <w:rPr>
          <w:rFonts w:ascii="Times New Roman" w:eastAsia="Times New Roman" w:hAnsi="Times New Roman" w:cs="Times New Roman"/>
          <w:sz w:val="24"/>
          <w:szCs w:val="24"/>
        </w:rPr>
      </w:pPr>
      <w:r w:rsidRPr="00A2053E">
        <w:rPr>
          <w:rFonts w:ascii="Times New Roman" w:eastAsia="Times New Roman" w:hAnsi="Times New Roman" w:cs="Times New Roman"/>
          <w:sz w:val="24"/>
          <w:szCs w:val="24"/>
        </w:rPr>
        <w:t xml:space="preserve">La correspondencia relacionada con este documento puede dirigirse a María Tatiana Mejía Pérez al correo electrónico: </w:t>
      </w:r>
      <w:r w:rsidR="004F2C67">
        <w:rPr>
          <w:rFonts w:ascii="Times New Roman" w:eastAsia="Times New Roman" w:hAnsi="Times New Roman" w:cs="Times New Roman"/>
          <w:sz w:val="24"/>
          <w:szCs w:val="24"/>
        </w:rPr>
        <w:t>mejiamariatatiana@gmail.co</w:t>
      </w:r>
      <w:r w:rsidR="000C1440">
        <w:rPr>
          <w:rFonts w:ascii="Times New Roman" w:eastAsia="Times New Roman" w:hAnsi="Times New Roman" w:cs="Times New Roman"/>
          <w:sz w:val="24"/>
          <w:szCs w:val="24"/>
        </w:rPr>
        <w:t>m</w:t>
      </w:r>
    </w:p>
    <w:p w14:paraId="4BD66D38" w14:textId="77777777" w:rsidR="002916AF" w:rsidRDefault="002916AF" w:rsidP="004A7DCC">
      <w:pPr>
        <w:spacing w:before="240" w:line="480" w:lineRule="auto"/>
        <w:ind w:right="360"/>
        <w:rPr>
          <w:rFonts w:ascii="Times New Roman" w:eastAsia="Times New Roman" w:hAnsi="Times New Roman" w:cs="Times New Roman"/>
          <w:b/>
          <w:bCs/>
          <w:sz w:val="24"/>
          <w:szCs w:val="24"/>
        </w:rPr>
      </w:pPr>
    </w:p>
    <w:p w14:paraId="00000013" w14:textId="54A4A839" w:rsidR="00DD6724" w:rsidRPr="007C5E6F" w:rsidRDefault="0008355F" w:rsidP="004A7DCC">
      <w:pPr>
        <w:spacing w:before="240" w:line="480" w:lineRule="auto"/>
        <w:ind w:right="360"/>
        <w:rPr>
          <w:rFonts w:ascii="Times New Roman" w:eastAsia="Times New Roman" w:hAnsi="Times New Roman" w:cs="Times New Roman"/>
          <w:b/>
          <w:bCs/>
          <w:sz w:val="24"/>
          <w:szCs w:val="24"/>
        </w:rPr>
      </w:pPr>
      <w:r w:rsidRPr="007C5E6F">
        <w:rPr>
          <w:rFonts w:ascii="Times New Roman" w:eastAsia="Times New Roman" w:hAnsi="Times New Roman" w:cs="Times New Roman"/>
          <w:b/>
          <w:bCs/>
          <w:sz w:val="24"/>
          <w:szCs w:val="24"/>
        </w:rPr>
        <w:lastRenderedPageBreak/>
        <w:t>Introducción</w:t>
      </w:r>
    </w:p>
    <w:p w14:paraId="00000014"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concepto de soberanía, un pilar esencial del Estado-nación moderno, ha sufrido una transformación significativa en las últimas décadas. La globalización, marcada por el aumento de las interconexiones económicas, políticas y culturales a nivel mundial, ha desafiado la noción tradicional de soberanía estatal. Este fenómeno plantea preguntas cruciales sobre la capacidad de los Estados para ejercer un control efectivo sobre sus territorios y poblaciones en un contexto de creciente interdependencia global.</w:t>
      </w:r>
    </w:p>
    <w:p w14:paraId="00000015"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Esta investigación se propone analizar críticamente la evolución del concepto de soberanía y explorar sus límites en el escenario internacional contemporáneo. Se examinará cómo los procesos de integración regional, la expansión de las corporaciones multinacionales, el surgimiento de organismos supranacionales y la proliferación de tratados internacionales han erosionado las fronteras tradicionales de la autoridad estatal.</w:t>
      </w:r>
    </w:p>
    <w:p w14:paraId="00000016" w14:textId="1631EF12"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A</w:t>
      </w:r>
      <w:r w:rsidR="008E0EFE">
        <w:rPr>
          <w:rFonts w:ascii="Times New Roman" w:eastAsia="Times New Roman" w:hAnsi="Times New Roman" w:cs="Times New Roman"/>
          <w:sz w:val="24"/>
          <w:szCs w:val="24"/>
        </w:rPr>
        <w:t>demás, se abordarán</w:t>
      </w:r>
      <w:r w:rsidRPr="007C5E6F">
        <w:rPr>
          <w:rFonts w:ascii="Times New Roman" w:eastAsia="Times New Roman" w:hAnsi="Times New Roman" w:cs="Times New Roman"/>
          <w:sz w:val="24"/>
          <w:szCs w:val="24"/>
        </w:rPr>
        <w:t xml:space="preserve"> las tensiones existentes entre la preservación de la soberanía nacional y la necesidad de cooperación internacional para enfrentar desafíos globales como el cambio climático, las crisis financieras y las amenazas a la seguridad transnacional. Se evaluarán las implicaciones de esta dinámica para la gobernanza global y la legitimidad de las instituciones internacionales.</w:t>
      </w:r>
    </w:p>
    <w:p w14:paraId="00000017" w14:textId="704EC9F5"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Asimismo, se describirán casos específicos que ilustran los dilemas contemporáneos de la soberanía, como la intervención humanitaria y la gestión de flujos migratorios transfronterizos. Estos ejemplos servirán para examinar cómo los Estados negocian su autonomía en un sistema internacional cada vez más complejo e interconectado.</w:t>
      </w:r>
    </w:p>
    <w:p w14:paraId="00000018" w14:textId="0CCE16CF"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investigación se sustentará en un marco teórico que integra perspectivas de las relaciones internacionales, el derecho internacional</w:t>
      </w:r>
      <w:r w:rsidR="00FF6B17" w:rsidRPr="007C5E6F">
        <w:rPr>
          <w:rFonts w:ascii="Times New Roman" w:eastAsia="Times New Roman" w:hAnsi="Times New Roman" w:cs="Times New Roman"/>
          <w:sz w:val="24"/>
          <w:szCs w:val="24"/>
        </w:rPr>
        <w:t xml:space="preserve">, la geopolítica a la luz de los últimos </w:t>
      </w:r>
      <w:r w:rsidR="00FF6B17" w:rsidRPr="007C5E6F">
        <w:rPr>
          <w:rFonts w:ascii="Times New Roman" w:eastAsia="Times New Roman" w:hAnsi="Times New Roman" w:cs="Times New Roman"/>
          <w:sz w:val="24"/>
          <w:szCs w:val="24"/>
        </w:rPr>
        <w:lastRenderedPageBreak/>
        <w:t>acontecimientos mundiales</w:t>
      </w:r>
      <w:r w:rsidRPr="007C5E6F">
        <w:rPr>
          <w:rFonts w:ascii="Times New Roman" w:eastAsia="Times New Roman" w:hAnsi="Times New Roman" w:cs="Times New Roman"/>
          <w:sz w:val="24"/>
          <w:szCs w:val="24"/>
        </w:rPr>
        <w:t xml:space="preserve"> y la ciencia política comparada. Se empleará una metodología cualitativa que combina el análisis documental y el estudio de casos.</w:t>
      </w:r>
    </w:p>
    <w:p w14:paraId="1704E1F5" w14:textId="77777777" w:rsidR="00565ABD" w:rsidRPr="007C5E6F" w:rsidRDefault="00565ABD"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El objetivo final de esta investigación es contribuir a una comprensión más matizada y contemporánea del concepto de soberanía, explorando sus límites y posibles reconfiguraciones en un contexto internacional profundamente transformado. En los últimos años, la denominada "decadencia de la globalización" impulsada por políticas proteccionistas, guerras de aranceles y un creciente unilateralismo por parte de las principales potencias ha redefinido las bases sobre las cuales se construía el orden internacional liberal: el multilateralismo, la cooperación económica y la cesión voluntaria de soberanía en favor de instituciones supranacionales. </w:t>
      </w:r>
    </w:p>
    <w:p w14:paraId="126DF3FC" w14:textId="4D0A1643" w:rsidR="00565ABD" w:rsidRPr="007C5E6F" w:rsidRDefault="00565ABD"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Este proceso ha puesto en tensión la funcionalidad de organismos como la ONU y ha debilitado la eficacia del Derecho Internacional como marco regulador de las relaciones entre Estados, abriendo preguntas urgentes sobre qué significa hoy ser soberano en un mundo que se fragmenta. Se espera que los resultados de este proyecto aporten perspectivas valiosas para gobiernos, académicos, formuladores de políticas públicas y estudiantes interesados en las dinámicas cambiantes del orden internacional del siglo XXI.</w:t>
      </w:r>
    </w:p>
    <w:p w14:paraId="24B0FFAA" w14:textId="77777777" w:rsidR="00F277C7" w:rsidRDefault="00F277C7" w:rsidP="00565ABD">
      <w:pPr>
        <w:spacing w:before="240" w:line="480" w:lineRule="auto"/>
        <w:rPr>
          <w:rFonts w:ascii="Times New Roman" w:eastAsia="Times New Roman" w:hAnsi="Times New Roman" w:cs="Times New Roman"/>
          <w:b/>
          <w:bCs/>
          <w:i/>
          <w:iCs/>
          <w:sz w:val="24"/>
          <w:szCs w:val="24"/>
        </w:rPr>
      </w:pPr>
    </w:p>
    <w:p w14:paraId="46CD839D" w14:textId="77777777" w:rsidR="00545F67" w:rsidRPr="007C5E6F" w:rsidRDefault="00545F67" w:rsidP="00565ABD">
      <w:pPr>
        <w:spacing w:before="240" w:line="480" w:lineRule="auto"/>
        <w:rPr>
          <w:rFonts w:ascii="Times New Roman" w:eastAsia="Times New Roman" w:hAnsi="Times New Roman" w:cs="Times New Roman"/>
          <w:sz w:val="24"/>
          <w:szCs w:val="24"/>
        </w:rPr>
      </w:pPr>
    </w:p>
    <w:p w14:paraId="7051408C" w14:textId="77777777" w:rsidR="00565ABD" w:rsidRPr="007C5E6F" w:rsidRDefault="00565ABD" w:rsidP="00565ABD">
      <w:pPr>
        <w:spacing w:before="240" w:line="480" w:lineRule="auto"/>
        <w:rPr>
          <w:rFonts w:ascii="Times New Roman" w:eastAsia="Times New Roman" w:hAnsi="Times New Roman" w:cs="Times New Roman"/>
          <w:sz w:val="24"/>
          <w:szCs w:val="24"/>
        </w:rPr>
      </w:pPr>
    </w:p>
    <w:p w14:paraId="61A63F65" w14:textId="77777777" w:rsidR="00F277C7" w:rsidRPr="007C5E6F" w:rsidRDefault="00F277C7" w:rsidP="004C1A95">
      <w:pPr>
        <w:spacing w:before="240" w:line="480" w:lineRule="auto"/>
        <w:ind w:firstLine="720"/>
        <w:rPr>
          <w:rFonts w:ascii="Times New Roman" w:eastAsia="Times New Roman" w:hAnsi="Times New Roman" w:cs="Times New Roman"/>
          <w:sz w:val="24"/>
          <w:szCs w:val="24"/>
        </w:rPr>
      </w:pPr>
    </w:p>
    <w:p w14:paraId="06BDDF10" w14:textId="77777777" w:rsidR="00F277C7" w:rsidRPr="007C5E6F" w:rsidRDefault="00F277C7" w:rsidP="004C1A95">
      <w:pPr>
        <w:spacing w:before="240" w:line="480" w:lineRule="auto"/>
        <w:ind w:firstLine="720"/>
        <w:rPr>
          <w:rFonts w:ascii="Times New Roman" w:eastAsia="Times New Roman" w:hAnsi="Times New Roman" w:cs="Times New Roman"/>
          <w:sz w:val="24"/>
          <w:szCs w:val="24"/>
        </w:rPr>
      </w:pPr>
    </w:p>
    <w:sdt>
      <w:sdtPr>
        <w:id w:val="811298391"/>
        <w:docPartObj>
          <w:docPartGallery w:val="Table of Contents"/>
          <w:docPartUnique/>
        </w:docPartObj>
      </w:sdtPr>
      <w:sdtContent>
        <w:p w14:paraId="0000001A" w14:textId="77777777" w:rsidR="00DD6724" w:rsidRPr="007C5E6F" w:rsidRDefault="0008355F" w:rsidP="004C1A95">
          <w:pPr>
            <w:widowControl w:val="0"/>
            <w:spacing w:line="480" w:lineRule="auto"/>
            <w:rPr>
              <w:rFonts w:ascii="Times New Roman" w:eastAsia="Times New Roman" w:hAnsi="Times New Roman" w:cs="Times New Roman"/>
              <w:b/>
              <w:bCs/>
              <w:sz w:val="24"/>
              <w:szCs w:val="24"/>
            </w:rPr>
          </w:pPr>
          <w:r w:rsidRPr="007C5E6F">
            <w:fldChar w:fldCharType="begin"/>
          </w:r>
          <w:r w:rsidRPr="007C5E6F">
            <w:instrText xml:space="preserve"> TOC \h \u \z \t "Heading 1,1,Heading 2,2,Heading 3,3,Heading 4,4,Heading 5,5,Heading 6,6,"</w:instrText>
          </w:r>
          <w:r w:rsidRPr="007C5E6F">
            <w:fldChar w:fldCharType="separate"/>
          </w:r>
        </w:p>
        <w:p w14:paraId="0000001C" w14:textId="33DFBAD6" w:rsidR="00DD6724" w:rsidRPr="007C5E6F" w:rsidRDefault="0008355F" w:rsidP="00F277C7">
          <w:pPr>
            <w:widowControl w:val="0"/>
            <w:spacing w:line="480" w:lineRule="auto"/>
            <w:rPr>
              <w:rFonts w:ascii="Times New Roman" w:eastAsia="Times New Roman" w:hAnsi="Times New Roman" w:cs="Times New Roman"/>
              <w:b/>
              <w:bCs/>
              <w:sz w:val="24"/>
              <w:szCs w:val="24"/>
            </w:rPr>
          </w:pPr>
          <w:r w:rsidRPr="007C5E6F">
            <w:rPr>
              <w:rFonts w:ascii="Times New Roman" w:eastAsia="Times New Roman" w:hAnsi="Times New Roman" w:cs="Times New Roman"/>
              <w:b/>
              <w:bCs/>
              <w:sz w:val="24"/>
              <w:szCs w:val="24"/>
            </w:rPr>
            <w:t>Tabla de Contenido</w:t>
          </w:r>
          <w:r w:rsidRPr="007C5E6F">
            <w:fldChar w:fldCharType="end"/>
          </w:r>
        </w:p>
      </w:sdtContent>
    </w:sdt>
    <w:sdt>
      <w:sdtPr>
        <w:id w:val="550018574"/>
        <w:docPartObj>
          <w:docPartGallery w:val="Table of Contents"/>
          <w:docPartUnique/>
        </w:docPartObj>
      </w:sdtPr>
      <w:sdtContent>
        <w:p w14:paraId="0000001D" w14:textId="1F55CA80" w:rsidR="00DD6724" w:rsidRPr="007C5E6F" w:rsidRDefault="00DD6724" w:rsidP="004C1A95">
          <w:pPr>
            <w:widowControl w:val="0"/>
            <w:tabs>
              <w:tab w:val="right" w:leader="dot" w:pos="12000"/>
            </w:tabs>
            <w:spacing w:before="60" w:line="480" w:lineRule="auto"/>
            <w:rPr>
              <w:b/>
              <w:bCs/>
              <w:color w:val="000000"/>
            </w:rPr>
          </w:pPr>
          <w:r w:rsidRPr="007C5E6F">
            <w:fldChar w:fldCharType="begin"/>
          </w:r>
          <w:r w:rsidRPr="007C5E6F">
            <w:instrText xml:space="preserve"> TOC \h \u \z \t "Heading 1,1,Heading 2,2,Heading 3,3,Heading 4,4,Heading 5,5,Heading 6,6,"</w:instrText>
          </w:r>
          <w:r w:rsidRPr="007C5E6F">
            <w:fldChar w:fldCharType="separate"/>
          </w:r>
          <w:hyperlink w:anchor="_avgduk27y4pa">
            <w:r w:rsidRPr="007C5E6F">
              <w:rPr>
                <w:rFonts w:ascii="Times New Roman" w:eastAsia="Times New Roman" w:hAnsi="Times New Roman" w:cs="Times New Roman"/>
                <w:b/>
                <w:bCs/>
                <w:color w:val="000000"/>
                <w:sz w:val="24"/>
                <w:szCs w:val="24"/>
              </w:rPr>
              <w:t>1. Planteamiento del problema</w:t>
            </w:r>
            <w:r w:rsidRPr="007C5E6F">
              <w:rPr>
                <w:rFonts w:ascii="Times New Roman" w:eastAsia="Times New Roman" w:hAnsi="Times New Roman" w:cs="Times New Roman"/>
                <w:b/>
                <w:bCs/>
                <w:color w:val="000000"/>
                <w:sz w:val="24"/>
                <w:szCs w:val="24"/>
              </w:rPr>
              <w:tab/>
            </w:r>
            <w:r w:rsidR="00F2226F">
              <w:rPr>
                <w:rFonts w:ascii="Times New Roman" w:eastAsia="Times New Roman" w:hAnsi="Times New Roman" w:cs="Times New Roman"/>
                <w:b/>
                <w:bCs/>
                <w:color w:val="000000"/>
                <w:sz w:val="24"/>
                <w:szCs w:val="24"/>
              </w:rPr>
              <w:t>6</w:t>
            </w:r>
          </w:hyperlink>
        </w:p>
        <w:p w14:paraId="0000001E" w14:textId="5793A087" w:rsidR="00DD6724" w:rsidRPr="007C5E6F" w:rsidRDefault="00DD6724" w:rsidP="004C1A95">
          <w:pPr>
            <w:widowControl w:val="0"/>
            <w:tabs>
              <w:tab w:val="right" w:leader="dot" w:pos="12000"/>
            </w:tabs>
            <w:spacing w:before="60" w:line="480" w:lineRule="auto"/>
            <w:rPr>
              <w:color w:val="000000"/>
            </w:rPr>
          </w:pPr>
          <w:hyperlink w:anchor="_qkel8bp0rob">
            <w:r w:rsidRPr="007C5E6F">
              <w:rPr>
                <w:rFonts w:ascii="Times New Roman" w:eastAsia="Times New Roman" w:hAnsi="Times New Roman" w:cs="Times New Roman"/>
                <w:color w:val="000000"/>
                <w:sz w:val="24"/>
                <w:szCs w:val="24"/>
              </w:rPr>
              <w:t>1.1 Descripción del problema</w:t>
            </w:r>
            <w:r w:rsidRPr="007C5E6F">
              <w:rPr>
                <w:rFonts w:ascii="Times New Roman" w:eastAsia="Times New Roman" w:hAnsi="Times New Roman" w:cs="Times New Roman"/>
                <w:color w:val="000000"/>
                <w:sz w:val="24"/>
                <w:szCs w:val="24"/>
              </w:rPr>
              <w:tab/>
            </w:r>
            <w:r w:rsidR="00F2226F">
              <w:rPr>
                <w:rFonts w:ascii="Times New Roman" w:eastAsia="Times New Roman" w:hAnsi="Times New Roman" w:cs="Times New Roman"/>
                <w:color w:val="000000"/>
                <w:sz w:val="24"/>
                <w:szCs w:val="24"/>
              </w:rPr>
              <w:t>6</w:t>
            </w:r>
          </w:hyperlink>
        </w:p>
        <w:p w14:paraId="0000001F" w14:textId="7E535DDB" w:rsidR="00DD6724" w:rsidRPr="007C5E6F" w:rsidRDefault="00DD6724" w:rsidP="004C1A95">
          <w:pPr>
            <w:widowControl w:val="0"/>
            <w:tabs>
              <w:tab w:val="right" w:leader="dot" w:pos="12000"/>
            </w:tabs>
            <w:spacing w:before="60" w:line="480" w:lineRule="auto"/>
            <w:rPr>
              <w:color w:val="000000"/>
            </w:rPr>
          </w:pPr>
          <w:hyperlink w:anchor="_6cti2e75omlz">
            <w:r w:rsidRPr="007C5E6F">
              <w:rPr>
                <w:rFonts w:ascii="Times New Roman" w:eastAsia="Times New Roman" w:hAnsi="Times New Roman" w:cs="Times New Roman"/>
                <w:color w:val="000000"/>
                <w:sz w:val="24"/>
                <w:szCs w:val="24"/>
              </w:rPr>
              <w:t>1.2 Formulación del problema</w:t>
            </w:r>
            <w:r w:rsidRPr="007C5E6F">
              <w:rPr>
                <w:rFonts w:ascii="Times New Roman" w:eastAsia="Times New Roman" w:hAnsi="Times New Roman" w:cs="Times New Roman"/>
                <w:color w:val="000000"/>
                <w:sz w:val="24"/>
                <w:szCs w:val="24"/>
              </w:rPr>
              <w:tab/>
            </w:r>
            <w:r w:rsidR="00F2226F">
              <w:rPr>
                <w:rFonts w:ascii="Times New Roman" w:eastAsia="Times New Roman" w:hAnsi="Times New Roman" w:cs="Times New Roman"/>
                <w:color w:val="000000"/>
                <w:sz w:val="24"/>
                <w:szCs w:val="24"/>
              </w:rPr>
              <w:t>7</w:t>
            </w:r>
          </w:hyperlink>
        </w:p>
        <w:p w14:paraId="3A3451EE" w14:textId="680E6445" w:rsidR="00565ABD" w:rsidRPr="007C5E6F" w:rsidRDefault="00DD6724" w:rsidP="004C1A95">
          <w:pPr>
            <w:widowControl w:val="0"/>
            <w:tabs>
              <w:tab w:val="right" w:leader="dot" w:pos="12000"/>
            </w:tabs>
            <w:spacing w:before="60" w:line="480" w:lineRule="auto"/>
          </w:pPr>
          <w:hyperlink w:anchor="_mfl3ujazlr60">
            <w:r w:rsidRPr="007C5E6F">
              <w:rPr>
                <w:rFonts w:ascii="Times New Roman" w:eastAsia="Times New Roman" w:hAnsi="Times New Roman" w:cs="Times New Roman"/>
                <w:b/>
                <w:bCs/>
                <w:color w:val="000000"/>
                <w:sz w:val="24"/>
                <w:szCs w:val="24"/>
              </w:rPr>
              <w:t>2. Justificación</w:t>
            </w:r>
            <w:r w:rsidRPr="007C5E6F">
              <w:rPr>
                <w:rFonts w:ascii="Times New Roman" w:eastAsia="Times New Roman" w:hAnsi="Times New Roman" w:cs="Times New Roman"/>
                <w:b/>
                <w:bCs/>
                <w:color w:val="000000"/>
                <w:sz w:val="24"/>
                <w:szCs w:val="24"/>
              </w:rPr>
              <w:tab/>
            </w:r>
            <w:r w:rsidR="00F2226F">
              <w:rPr>
                <w:rFonts w:ascii="Times New Roman" w:eastAsia="Times New Roman" w:hAnsi="Times New Roman" w:cs="Times New Roman"/>
                <w:b/>
                <w:bCs/>
                <w:color w:val="000000"/>
                <w:sz w:val="24"/>
                <w:szCs w:val="24"/>
              </w:rPr>
              <w:t>7</w:t>
            </w:r>
          </w:hyperlink>
        </w:p>
        <w:p w14:paraId="00000021" w14:textId="5876E96B" w:rsidR="00DD6724" w:rsidRPr="007C5E6F" w:rsidRDefault="00DD6724" w:rsidP="004C1A95">
          <w:pPr>
            <w:widowControl w:val="0"/>
            <w:tabs>
              <w:tab w:val="right" w:leader="dot" w:pos="12000"/>
            </w:tabs>
            <w:spacing w:before="60" w:line="480" w:lineRule="auto"/>
            <w:rPr>
              <w:b/>
              <w:bCs/>
              <w:color w:val="000000"/>
            </w:rPr>
          </w:pPr>
          <w:hyperlink w:anchor="_ngji55wt2jne">
            <w:r w:rsidRPr="007C5E6F">
              <w:rPr>
                <w:rFonts w:ascii="Times New Roman" w:eastAsia="Times New Roman" w:hAnsi="Times New Roman" w:cs="Times New Roman"/>
                <w:b/>
                <w:bCs/>
                <w:color w:val="000000"/>
                <w:sz w:val="24"/>
                <w:szCs w:val="24"/>
              </w:rPr>
              <w:t>3. Objetivos</w:t>
            </w:r>
            <w:r w:rsidRPr="007C5E6F">
              <w:rPr>
                <w:rFonts w:ascii="Times New Roman" w:eastAsia="Times New Roman" w:hAnsi="Times New Roman" w:cs="Times New Roman"/>
                <w:b/>
                <w:bCs/>
                <w:color w:val="000000"/>
                <w:sz w:val="24"/>
                <w:szCs w:val="24"/>
              </w:rPr>
              <w:tab/>
            </w:r>
            <w:r w:rsidR="00F2226F">
              <w:rPr>
                <w:rFonts w:ascii="Times New Roman" w:eastAsia="Times New Roman" w:hAnsi="Times New Roman" w:cs="Times New Roman"/>
                <w:b/>
                <w:bCs/>
                <w:color w:val="000000"/>
                <w:sz w:val="24"/>
                <w:szCs w:val="24"/>
              </w:rPr>
              <w:t>9</w:t>
            </w:r>
          </w:hyperlink>
        </w:p>
        <w:p w14:paraId="00000022" w14:textId="56CA6950" w:rsidR="00DD6724" w:rsidRPr="007C5E6F" w:rsidRDefault="00DD6724" w:rsidP="004C1A95">
          <w:pPr>
            <w:widowControl w:val="0"/>
            <w:tabs>
              <w:tab w:val="right" w:leader="dot" w:pos="12000"/>
            </w:tabs>
            <w:spacing w:before="60" w:line="480" w:lineRule="auto"/>
            <w:rPr>
              <w:color w:val="000000"/>
            </w:rPr>
          </w:pPr>
          <w:hyperlink w:anchor="_mpmnijylluxr">
            <w:r w:rsidRPr="007C5E6F">
              <w:rPr>
                <w:rFonts w:ascii="Times New Roman" w:eastAsia="Times New Roman" w:hAnsi="Times New Roman" w:cs="Times New Roman"/>
                <w:color w:val="000000"/>
                <w:sz w:val="24"/>
                <w:szCs w:val="24"/>
              </w:rPr>
              <w:t>3.1 Objetivos generales</w:t>
            </w:r>
            <w:r w:rsidRPr="007C5E6F">
              <w:rPr>
                <w:rFonts w:ascii="Times New Roman" w:eastAsia="Times New Roman" w:hAnsi="Times New Roman" w:cs="Times New Roman"/>
                <w:color w:val="000000"/>
                <w:sz w:val="24"/>
                <w:szCs w:val="24"/>
              </w:rPr>
              <w:tab/>
            </w:r>
            <w:r w:rsidR="00F2226F">
              <w:rPr>
                <w:rFonts w:ascii="Times New Roman" w:eastAsia="Times New Roman" w:hAnsi="Times New Roman" w:cs="Times New Roman"/>
                <w:color w:val="000000"/>
                <w:sz w:val="24"/>
                <w:szCs w:val="24"/>
              </w:rPr>
              <w:t>9</w:t>
            </w:r>
          </w:hyperlink>
        </w:p>
        <w:p w14:paraId="00000023" w14:textId="0D6ACA1A" w:rsidR="00DD6724" w:rsidRPr="007C5E6F" w:rsidRDefault="00DD6724" w:rsidP="004C1A95">
          <w:pPr>
            <w:widowControl w:val="0"/>
            <w:tabs>
              <w:tab w:val="right" w:leader="dot" w:pos="12000"/>
            </w:tabs>
            <w:spacing w:before="60" w:line="480" w:lineRule="auto"/>
            <w:rPr>
              <w:color w:val="000000"/>
            </w:rPr>
          </w:pPr>
          <w:hyperlink w:anchor="_ce4bayydlo01">
            <w:r w:rsidRPr="007C5E6F">
              <w:rPr>
                <w:rFonts w:ascii="Times New Roman" w:eastAsia="Times New Roman" w:hAnsi="Times New Roman" w:cs="Times New Roman"/>
                <w:color w:val="000000"/>
                <w:sz w:val="24"/>
                <w:szCs w:val="24"/>
              </w:rPr>
              <w:t>3.2 Objetivos específicos</w:t>
            </w:r>
            <w:r w:rsidRPr="007C5E6F">
              <w:rPr>
                <w:rFonts w:ascii="Times New Roman" w:eastAsia="Times New Roman" w:hAnsi="Times New Roman" w:cs="Times New Roman"/>
                <w:color w:val="000000"/>
                <w:sz w:val="24"/>
                <w:szCs w:val="24"/>
              </w:rPr>
              <w:tab/>
            </w:r>
            <w:r w:rsidR="00F2226F">
              <w:rPr>
                <w:rFonts w:ascii="Times New Roman" w:eastAsia="Times New Roman" w:hAnsi="Times New Roman" w:cs="Times New Roman"/>
                <w:color w:val="000000"/>
                <w:sz w:val="24"/>
                <w:szCs w:val="24"/>
              </w:rPr>
              <w:t>9</w:t>
            </w:r>
          </w:hyperlink>
        </w:p>
        <w:p w14:paraId="00000024" w14:textId="035BF6A5" w:rsidR="00DD6724" w:rsidRPr="007C5E6F" w:rsidRDefault="00DD6724" w:rsidP="004C1A95">
          <w:pPr>
            <w:widowControl w:val="0"/>
            <w:tabs>
              <w:tab w:val="right" w:leader="dot" w:pos="12000"/>
            </w:tabs>
            <w:spacing w:before="60" w:line="480" w:lineRule="auto"/>
            <w:rPr>
              <w:b/>
              <w:bCs/>
              <w:color w:val="000000"/>
            </w:rPr>
          </w:pPr>
          <w:hyperlink w:anchor="_1r23n3w7od2">
            <w:r w:rsidRPr="007C5E6F">
              <w:rPr>
                <w:rFonts w:ascii="Times New Roman" w:eastAsia="Times New Roman" w:hAnsi="Times New Roman" w:cs="Times New Roman"/>
                <w:b/>
                <w:bCs/>
                <w:color w:val="000000"/>
                <w:sz w:val="24"/>
                <w:szCs w:val="24"/>
              </w:rPr>
              <w:t>4. Marco de referencia</w:t>
            </w:r>
            <w:r w:rsidRPr="007C5E6F">
              <w:rPr>
                <w:rFonts w:ascii="Times New Roman" w:eastAsia="Times New Roman" w:hAnsi="Times New Roman" w:cs="Times New Roman"/>
                <w:b/>
                <w:bCs/>
                <w:color w:val="000000"/>
                <w:sz w:val="24"/>
                <w:szCs w:val="24"/>
              </w:rPr>
              <w:tab/>
              <w:t>5</w:t>
            </w:r>
          </w:hyperlink>
        </w:p>
        <w:p w14:paraId="00000025" w14:textId="358CA053" w:rsidR="00DD6724" w:rsidRPr="007C5E6F" w:rsidRDefault="00DD6724" w:rsidP="004C1A95">
          <w:pPr>
            <w:widowControl w:val="0"/>
            <w:tabs>
              <w:tab w:val="right" w:leader="dot" w:pos="12000"/>
            </w:tabs>
            <w:spacing w:before="60" w:line="480" w:lineRule="auto"/>
            <w:rPr>
              <w:color w:val="000000"/>
            </w:rPr>
          </w:pPr>
          <w:hyperlink w:anchor="_m9pkpcsae4xh">
            <w:r w:rsidRPr="007C5E6F">
              <w:rPr>
                <w:rFonts w:ascii="Times New Roman" w:eastAsia="Times New Roman" w:hAnsi="Times New Roman" w:cs="Times New Roman"/>
                <w:color w:val="000000"/>
                <w:sz w:val="24"/>
                <w:szCs w:val="24"/>
              </w:rPr>
              <w:t xml:space="preserve">4.1 Marco </w:t>
            </w:r>
            <w:r w:rsidR="00823783">
              <w:rPr>
                <w:rFonts w:ascii="Times New Roman" w:eastAsia="Times New Roman" w:hAnsi="Times New Roman" w:cs="Times New Roman"/>
                <w:color w:val="000000"/>
                <w:sz w:val="24"/>
                <w:szCs w:val="24"/>
              </w:rPr>
              <w:t>te</w:t>
            </w:r>
            <w:r w:rsidR="001974FB">
              <w:rPr>
                <w:rFonts w:ascii="Times New Roman" w:eastAsia="Times New Roman" w:hAnsi="Times New Roman" w:cs="Times New Roman"/>
                <w:color w:val="000000"/>
                <w:sz w:val="24"/>
                <w:szCs w:val="24"/>
              </w:rPr>
              <w:t>ó</w:t>
            </w:r>
            <w:r w:rsidR="00823783">
              <w:rPr>
                <w:rFonts w:ascii="Times New Roman" w:eastAsia="Times New Roman" w:hAnsi="Times New Roman" w:cs="Times New Roman"/>
                <w:color w:val="000000"/>
                <w:sz w:val="24"/>
                <w:szCs w:val="24"/>
              </w:rPr>
              <w:t>r</w:t>
            </w:r>
            <w:r w:rsidR="001974FB">
              <w:rPr>
                <w:rFonts w:ascii="Times New Roman" w:eastAsia="Times New Roman" w:hAnsi="Times New Roman" w:cs="Times New Roman"/>
                <w:color w:val="000000"/>
                <w:sz w:val="24"/>
                <w:szCs w:val="24"/>
              </w:rPr>
              <w:t>i</w:t>
            </w:r>
            <w:r w:rsidR="00823783">
              <w:rPr>
                <w:rFonts w:ascii="Times New Roman" w:eastAsia="Times New Roman" w:hAnsi="Times New Roman" w:cs="Times New Roman"/>
                <w:color w:val="000000"/>
                <w:sz w:val="24"/>
                <w:szCs w:val="24"/>
              </w:rPr>
              <w:t>co</w:t>
            </w:r>
            <w:r w:rsidRPr="007C5E6F">
              <w:rPr>
                <w:rFonts w:ascii="Times New Roman" w:eastAsia="Times New Roman" w:hAnsi="Times New Roman" w:cs="Times New Roman"/>
                <w:color w:val="000000"/>
                <w:sz w:val="24"/>
                <w:szCs w:val="24"/>
              </w:rPr>
              <w:tab/>
            </w:r>
            <w:r w:rsidR="005E464A">
              <w:rPr>
                <w:rFonts w:ascii="Times New Roman" w:eastAsia="Times New Roman" w:hAnsi="Times New Roman" w:cs="Times New Roman"/>
                <w:color w:val="000000"/>
                <w:sz w:val="24"/>
                <w:szCs w:val="24"/>
              </w:rPr>
              <w:t>10</w:t>
            </w:r>
          </w:hyperlink>
        </w:p>
        <w:p w14:paraId="00000026" w14:textId="3047101A" w:rsidR="00DD6724" w:rsidRPr="007C5E6F" w:rsidRDefault="00DD6724" w:rsidP="004C1A95">
          <w:pPr>
            <w:widowControl w:val="0"/>
            <w:tabs>
              <w:tab w:val="right" w:leader="dot" w:pos="12000"/>
            </w:tabs>
            <w:spacing w:before="60" w:line="480" w:lineRule="auto"/>
            <w:rPr>
              <w:color w:val="000000"/>
            </w:rPr>
          </w:pPr>
          <w:hyperlink w:anchor="_qwvx2qq18dq4">
            <w:r w:rsidRPr="007C5E6F">
              <w:rPr>
                <w:rFonts w:ascii="Times New Roman" w:eastAsia="Times New Roman" w:hAnsi="Times New Roman" w:cs="Times New Roman"/>
                <w:color w:val="000000"/>
                <w:sz w:val="24"/>
                <w:szCs w:val="24"/>
              </w:rPr>
              <w:t xml:space="preserve">4.2 Marco </w:t>
            </w:r>
            <w:r w:rsidR="00823783">
              <w:rPr>
                <w:rFonts w:ascii="Times New Roman" w:eastAsia="Times New Roman" w:hAnsi="Times New Roman" w:cs="Times New Roman"/>
                <w:color w:val="000000"/>
                <w:sz w:val="24"/>
                <w:szCs w:val="24"/>
              </w:rPr>
              <w:t>conceptual</w:t>
            </w:r>
            <w:r w:rsidRPr="007C5E6F">
              <w:rPr>
                <w:rFonts w:ascii="Times New Roman" w:eastAsia="Times New Roman" w:hAnsi="Times New Roman" w:cs="Times New Roman"/>
                <w:color w:val="000000"/>
                <w:sz w:val="24"/>
                <w:szCs w:val="24"/>
              </w:rPr>
              <w:tab/>
            </w:r>
            <w:r w:rsidR="005E464A">
              <w:rPr>
                <w:rFonts w:ascii="Times New Roman" w:eastAsia="Times New Roman" w:hAnsi="Times New Roman" w:cs="Times New Roman"/>
                <w:color w:val="000000"/>
                <w:sz w:val="24"/>
                <w:szCs w:val="24"/>
              </w:rPr>
              <w:t>16</w:t>
            </w:r>
          </w:hyperlink>
        </w:p>
        <w:p w14:paraId="00000027" w14:textId="227A5808" w:rsidR="00DD6724" w:rsidRPr="007C5E6F" w:rsidRDefault="00DD6724" w:rsidP="004C1A95">
          <w:pPr>
            <w:widowControl w:val="0"/>
            <w:tabs>
              <w:tab w:val="right" w:leader="dot" w:pos="12000"/>
            </w:tabs>
            <w:spacing w:before="60" w:line="480" w:lineRule="auto"/>
            <w:rPr>
              <w:color w:val="000000"/>
            </w:rPr>
          </w:pPr>
          <w:hyperlink w:anchor="_lvbkstysik91">
            <w:r w:rsidRPr="007C5E6F">
              <w:rPr>
                <w:rFonts w:ascii="Times New Roman" w:eastAsia="Times New Roman" w:hAnsi="Times New Roman" w:cs="Times New Roman"/>
                <w:color w:val="000000"/>
                <w:sz w:val="24"/>
                <w:szCs w:val="24"/>
              </w:rPr>
              <w:t xml:space="preserve">4.3 Marco </w:t>
            </w:r>
            <w:r w:rsidR="00823783">
              <w:rPr>
                <w:rFonts w:ascii="Times New Roman" w:eastAsia="Times New Roman" w:hAnsi="Times New Roman" w:cs="Times New Roman"/>
                <w:color w:val="000000"/>
                <w:sz w:val="24"/>
                <w:szCs w:val="24"/>
              </w:rPr>
              <w:t>hist</w:t>
            </w:r>
            <w:r w:rsidR="006D19EA">
              <w:rPr>
                <w:rFonts w:ascii="Times New Roman" w:eastAsia="Times New Roman" w:hAnsi="Times New Roman" w:cs="Times New Roman"/>
                <w:color w:val="000000"/>
                <w:sz w:val="24"/>
                <w:szCs w:val="24"/>
              </w:rPr>
              <w:t>ó</w:t>
            </w:r>
            <w:r w:rsidR="00823783">
              <w:rPr>
                <w:rFonts w:ascii="Times New Roman" w:eastAsia="Times New Roman" w:hAnsi="Times New Roman" w:cs="Times New Roman"/>
                <w:color w:val="000000"/>
                <w:sz w:val="24"/>
                <w:szCs w:val="24"/>
              </w:rPr>
              <w:t>rico</w:t>
            </w:r>
            <w:r w:rsidRPr="007C5E6F">
              <w:rPr>
                <w:rFonts w:ascii="Times New Roman" w:eastAsia="Times New Roman" w:hAnsi="Times New Roman" w:cs="Times New Roman"/>
                <w:color w:val="000000"/>
                <w:sz w:val="24"/>
                <w:szCs w:val="24"/>
              </w:rPr>
              <w:tab/>
              <w:t>2</w:t>
            </w:r>
          </w:hyperlink>
          <w:r w:rsidR="006D19EA">
            <w:t>6</w:t>
          </w:r>
        </w:p>
        <w:p w14:paraId="00000028" w14:textId="49999AA3" w:rsidR="00DD6724" w:rsidRPr="007C5E6F" w:rsidRDefault="00DD6724" w:rsidP="004C1A95">
          <w:pPr>
            <w:widowControl w:val="0"/>
            <w:tabs>
              <w:tab w:val="right" w:leader="dot" w:pos="12000"/>
            </w:tabs>
            <w:spacing w:before="60" w:line="480" w:lineRule="auto"/>
            <w:rPr>
              <w:color w:val="000000"/>
            </w:rPr>
          </w:pPr>
          <w:hyperlink w:anchor="_3y4h1ke7hpep">
            <w:r w:rsidRPr="007C5E6F">
              <w:rPr>
                <w:rFonts w:ascii="Times New Roman" w:eastAsia="Times New Roman" w:hAnsi="Times New Roman" w:cs="Times New Roman"/>
                <w:color w:val="000000"/>
                <w:sz w:val="24"/>
                <w:szCs w:val="24"/>
              </w:rPr>
              <w:t>4.4 Marco legal</w:t>
            </w:r>
            <w:r w:rsidRPr="007C5E6F">
              <w:rPr>
                <w:rFonts w:ascii="Times New Roman" w:eastAsia="Times New Roman" w:hAnsi="Times New Roman" w:cs="Times New Roman"/>
                <w:color w:val="000000"/>
                <w:sz w:val="24"/>
                <w:szCs w:val="24"/>
              </w:rPr>
              <w:tab/>
            </w:r>
            <w:r w:rsidR="00F504F5">
              <w:rPr>
                <w:rFonts w:ascii="Times New Roman" w:eastAsia="Times New Roman" w:hAnsi="Times New Roman" w:cs="Times New Roman"/>
                <w:color w:val="000000"/>
                <w:sz w:val="24"/>
                <w:szCs w:val="24"/>
              </w:rPr>
              <w:t>28</w:t>
            </w:r>
          </w:hyperlink>
        </w:p>
        <w:p w14:paraId="00000029" w14:textId="09E29F09" w:rsidR="00DD6724" w:rsidRPr="007C5E6F" w:rsidRDefault="00DD6724" w:rsidP="004C1A95">
          <w:pPr>
            <w:widowControl w:val="0"/>
            <w:tabs>
              <w:tab w:val="right" w:leader="dot" w:pos="12000"/>
            </w:tabs>
            <w:spacing w:before="60" w:line="480" w:lineRule="auto"/>
            <w:rPr>
              <w:b/>
              <w:bCs/>
              <w:color w:val="000000"/>
            </w:rPr>
          </w:pPr>
          <w:hyperlink w:anchor="_7wo8dtqgujzc">
            <w:r w:rsidRPr="007C5E6F">
              <w:rPr>
                <w:rFonts w:ascii="Times New Roman" w:eastAsia="Times New Roman" w:hAnsi="Times New Roman" w:cs="Times New Roman"/>
                <w:b/>
                <w:bCs/>
                <w:color w:val="000000"/>
                <w:sz w:val="24"/>
                <w:szCs w:val="24"/>
              </w:rPr>
              <w:t>5. Metodología</w:t>
            </w:r>
            <w:r w:rsidRPr="007C5E6F">
              <w:rPr>
                <w:rFonts w:ascii="Times New Roman" w:eastAsia="Times New Roman" w:hAnsi="Times New Roman" w:cs="Times New Roman"/>
                <w:b/>
                <w:bCs/>
                <w:color w:val="000000"/>
                <w:sz w:val="24"/>
                <w:szCs w:val="24"/>
              </w:rPr>
              <w:tab/>
            </w:r>
            <w:r w:rsidR="005E277C">
              <w:rPr>
                <w:rFonts w:ascii="Times New Roman" w:eastAsia="Times New Roman" w:hAnsi="Times New Roman" w:cs="Times New Roman"/>
                <w:b/>
                <w:bCs/>
                <w:color w:val="000000"/>
                <w:sz w:val="24"/>
                <w:szCs w:val="24"/>
              </w:rPr>
              <w:t>30</w:t>
            </w:r>
          </w:hyperlink>
        </w:p>
        <w:p w14:paraId="0000002A" w14:textId="35DB6992" w:rsidR="00DD6724" w:rsidRPr="007C5E6F" w:rsidRDefault="00DD6724" w:rsidP="004C1A95">
          <w:pPr>
            <w:widowControl w:val="0"/>
            <w:tabs>
              <w:tab w:val="right" w:leader="dot" w:pos="12000"/>
            </w:tabs>
            <w:spacing w:before="60" w:line="480" w:lineRule="auto"/>
            <w:rPr>
              <w:color w:val="000000"/>
            </w:rPr>
          </w:pPr>
          <w:hyperlink w:anchor="_v0j2p858bm8c">
            <w:r w:rsidRPr="007C5E6F">
              <w:rPr>
                <w:rFonts w:ascii="Times New Roman" w:eastAsia="Times New Roman" w:hAnsi="Times New Roman" w:cs="Times New Roman"/>
                <w:color w:val="000000"/>
                <w:sz w:val="24"/>
                <w:szCs w:val="24"/>
              </w:rPr>
              <w:t>5.1 Enfoque</w:t>
            </w:r>
            <w:r w:rsidRPr="007C5E6F">
              <w:rPr>
                <w:rFonts w:ascii="Times New Roman" w:eastAsia="Times New Roman" w:hAnsi="Times New Roman" w:cs="Times New Roman"/>
                <w:color w:val="000000"/>
                <w:sz w:val="24"/>
                <w:szCs w:val="24"/>
              </w:rPr>
              <w:tab/>
            </w:r>
            <w:r w:rsidR="0003745D">
              <w:rPr>
                <w:rFonts w:ascii="Times New Roman" w:eastAsia="Times New Roman" w:hAnsi="Times New Roman" w:cs="Times New Roman"/>
                <w:color w:val="000000"/>
                <w:sz w:val="24"/>
                <w:szCs w:val="24"/>
              </w:rPr>
              <w:t>30</w:t>
            </w:r>
          </w:hyperlink>
        </w:p>
        <w:p w14:paraId="0000002B" w14:textId="117AC1D5" w:rsidR="00DD6724" w:rsidRPr="007C5E6F" w:rsidRDefault="00DD6724" w:rsidP="004C1A95">
          <w:pPr>
            <w:widowControl w:val="0"/>
            <w:tabs>
              <w:tab w:val="right" w:leader="dot" w:pos="12000"/>
            </w:tabs>
            <w:spacing w:before="60" w:line="480" w:lineRule="auto"/>
            <w:rPr>
              <w:color w:val="000000"/>
            </w:rPr>
          </w:pPr>
          <w:hyperlink w:anchor="_yewodd6tw33">
            <w:r w:rsidRPr="007C5E6F">
              <w:rPr>
                <w:rFonts w:ascii="Times New Roman" w:eastAsia="Times New Roman" w:hAnsi="Times New Roman" w:cs="Times New Roman"/>
                <w:color w:val="000000"/>
                <w:sz w:val="24"/>
                <w:szCs w:val="24"/>
              </w:rPr>
              <w:t>5.2 Método</w:t>
            </w:r>
            <w:r w:rsidRPr="007C5E6F">
              <w:rPr>
                <w:rFonts w:ascii="Times New Roman" w:eastAsia="Times New Roman" w:hAnsi="Times New Roman" w:cs="Times New Roman"/>
                <w:color w:val="000000"/>
                <w:sz w:val="24"/>
                <w:szCs w:val="24"/>
              </w:rPr>
              <w:tab/>
            </w:r>
            <w:r w:rsidR="0003745D">
              <w:rPr>
                <w:rFonts w:ascii="Times New Roman" w:eastAsia="Times New Roman" w:hAnsi="Times New Roman" w:cs="Times New Roman"/>
                <w:color w:val="000000"/>
                <w:sz w:val="24"/>
                <w:szCs w:val="24"/>
              </w:rPr>
              <w:t>31</w:t>
            </w:r>
          </w:hyperlink>
        </w:p>
        <w:p w14:paraId="0000002C" w14:textId="1D43AA5A" w:rsidR="00DD6724" w:rsidRPr="007C5E6F" w:rsidRDefault="00DD6724" w:rsidP="004C1A95">
          <w:pPr>
            <w:widowControl w:val="0"/>
            <w:tabs>
              <w:tab w:val="right" w:leader="dot" w:pos="12000"/>
            </w:tabs>
            <w:spacing w:before="60" w:line="480" w:lineRule="auto"/>
            <w:rPr>
              <w:color w:val="000000"/>
            </w:rPr>
          </w:pPr>
          <w:hyperlink w:anchor="_jc2lsp1l3izl">
            <w:r w:rsidRPr="007C5E6F">
              <w:rPr>
                <w:rFonts w:ascii="Times New Roman" w:eastAsia="Times New Roman" w:hAnsi="Times New Roman" w:cs="Times New Roman"/>
                <w:color w:val="000000"/>
                <w:sz w:val="24"/>
                <w:szCs w:val="24"/>
              </w:rPr>
              <w:t>5.3 Tipo de investigación</w:t>
            </w:r>
            <w:r w:rsidRPr="007C5E6F">
              <w:rPr>
                <w:rFonts w:ascii="Times New Roman" w:eastAsia="Times New Roman" w:hAnsi="Times New Roman" w:cs="Times New Roman"/>
                <w:color w:val="000000"/>
                <w:sz w:val="24"/>
                <w:szCs w:val="24"/>
              </w:rPr>
              <w:tab/>
            </w:r>
            <w:r w:rsidR="0003745D">
              <w:rPr>
                <w:rFonts w:ascii="Times New Roman" w:eastAsia="Times New Roman" w:hAnsi="Times New Roman" w:cs="Times New Roman"/>
                <w:color w:val="000000"/>
                <w:sz w:val="24"/>
                <w:szCs w:val="24"/>
              </w:rPr>
              <w:t>32</w:t>
            </w:r>
          </w:hyperlink>
        </w:p>
        <w:p w14:paraId="639121F1" w14:textId="5C2C5BD0" w:rsidR="00421A0B" w:rsidRPr="00421A0B" w:rsidRDefault="00DD6724" w:rsidP="004C1A95">
          <w:pPr>
            <w:widowControl w:val="0"/>
            <w:tabs>
              <w:tab w:val="right" w:leader="dot" w:pos="12000"/>
            </w:tabs>
            <w:spacing w:before="60" w:line="480" w:lineRule="auto"/>
          </w:pPr>
          <w:hyperlink w:anchor="_ox4kfleylyn5">
            <w:r w:rsidRPr="007C5E6F">
              <w:rPr>
                <w:rFonts w:ascii="Times New Roman" w:eastAsia="Times New Roman" w:hAnsi="Times New Roman" w:cs="Times New Roman"/>
                <w:color w:val="000000"/>
                <w:sz w:val="24"/>
                <w:szCs w:val="24"/>
              </w:rPr>
              <w:t>5.4 Técnicas e instrumentos</w:t>
            </w:r>
            <w:r w:rsidRPr="007C5E6F">
              <w:rPr>
                <w:rFonts w:ascii="Times New Roman" w:eastAsia="Times New Roman" w:hAnsi="Times New Roman" w:cs="Times New Roman"/>
                <w:color w:val="000000"/>
                <w:sz w:val="24"/>
                <w:szCs w:val="24"/>
              </w:rPr>
              <w:tab/>
            </w:r>
            <w:r w:rsidR="00421A0B">
              <w:rPr>
                <w:rFonts w:ascii="Times New Roman" w:eastAsia="Times New Roman" w:hAnsi="Times New Roman" w:cs="Times New Roman"/>
                <w:color w:val="000000"/>
                <w:sz w:val="24"/>
                <w:szCs w:val="24"/>
              </w:rPr>
              <w:t>32</w:t>
            </w:r>
          </w:hyperlink>
        </w:p>
        <w:p w14:paraId="0000002E" w14:textId="5B77503F" w:rsidR="00DD6724" w:rsidRPr="007C5E6F" w:rsidRDefault="00DD6724" w:rsidP="004C1A95">
          <w:pPr>
            <w:widowControl w:val="0"/>
            <w:tabs>
              <w:tab w:val="right" w:leader="dot" w:pos="12000"/>
            </w:tabs>
            <w:spacing w:before="60" w:line="480" w:lineRule="auto"/>
            <w:rPr>
              <w:b/>
              <w:bCs/>
              <w:color w:val="000000"/>
            </w:rPr>
          </w:pPr>
          <w:hyperlink w:anchor="_xddfiw2rj38t">
            <w:r w:rsidRPr="007C5E6F">
              <w:rPr>
                <w:rFonts w:ascii="Times New Roman" w:eastAsia="Times New Roman" w:hAnsi="Times New Roman" w:cs="Times New Roman"/>
                <w:b/>
                <w:bCs/>
                <w:color w:val="000000"/>
                <w:sz w:val="24"/>
                <w:szCs w:val="24"/>
              </w:rPr>
              <w:t>6. Resultados</w:t>
            </w:r>
            <w:r w:rsidRPr="007C5E6F">
              <w:rPr>
                <w:rFonts w:ascii="Times New Roman" w:eastAsia="Times New Roman" w:hAnsi="Times New Roman" w:cs="Times New Roman"/>
                <w:b/>
                <w:bCs/>
                <w:color w:val="000000"/>
                <w:sz w:val="24"/>
                <w:szCs w:val="24"/>
              </w:rPr>
              <w:tab/>
            </w:r>
            <w:r w:rsidR="00A5361E">
              <w:rPr>
                <w:rFonts w:ascii="Times New Roman" w:eastAsia="Times New Roman" w:hAnsi="Times New Roman" w:cs="Times New Roman"/>
                <w:b/>
                <w:bCs/>
                <w:color w:val="000000"/>
                <w:sz w:val="24"/>
                <w:szCs w:val="24"/>
              </w:rPr>
              <w:t>33</w:t>
            </w:r>
          </w:hyperlink>
        </w:p>
        <w:p w14:paraId="0000002F" w14:textId="3EB1F9D0" w:rsidR="00DD6724" w:rsidRPr="007C5E6F" w:rsidRDefault="00DD6724" w:rsidP="004C1A95">
          <w:pPr>
            <w:widowControl w:val="0"/>
            <w:tabs>
              <w:tab w:val="right" w:leader="dot" w:pos="12000"/>
            </w:tabs>
            <w:spacing w:before="60" w:line="480" w:lineRule="auto"/>
            <w:rPr>
              <w:color w:val="000000"/>
            </w:rPr>
          </w:pPr>
          <w:hyperlink w:anchor="_l4rmr0tpg732">
            <w:r w:rsidRPr="007C5E6F">
              <w:rPr>
                <w:rFonts w:ascii="Times New Roman" w:eastAsia="Times New Roman" w:hAnsi="Times New Roman" w:cs="Times New Roman"/>
                <w:color w:val="000000"/>
                <w:sz w:val="24"/>
                <w:szCs w:val="24"/>
              </w:rPr>
              <w:t>Evolución de los diversos conceptos de soberanía estatal a través de la historia</w:t>
            </w:r>
            <w:r w:rsidRPr="007C5E6F">
              <w:rPr>
                <w:rFonts w:ascii="Times New Roman" w:eastAsia="Times New Roman" w:hAnsi="Times New Roman" w:cs="Times New Roman"/>
                <w:color w:val="000000"/>
                <w:sz w:val="24"/>
                <w:szCs w:val="24"/>
              </w:rPr>
              <w:tab/>
            </w:r>
            <w:r w:rsidR="00421A0B">
              <w:rPr>
                <w:rFonts w:ascii="Times New Roman" w:eastAsia="Times New Roman" w:hAnsi="Times New Roman" w:cs="Times New Roman"/>
                <w:color w:val="000000"/>
                <w:sz w:val="24"/>
                <w:szCs w:val="24"/>
              </w:rPr>
              <w:t>33</w:t>
            </w:r>
          </w:hyperlink>
        </w:p>
        <w:p w14:paraId="00000030" w14:textId="4CC96DE3" w:rsidR="00DD6724" w:rsidRPr="007C5E6F" w:rsidRDefault="00DD6724" w:rsidP="004C1A95">
          <w:pPr>
            <w:widowControl w:val="0"/>
            <w:tabs>
              <w:tab w:val="right" w:leader="dot" w:pos="12000"/>
            </w:tabs>
            <w:spacing w:before="60" w:line="480" w:lineRule="auto"/>
            <w:rPr>
              <w:color w:val="000000"/>
            </w:rPr>
          </w:pPr>
          <w:hyperlink w:anchor="_qlbwmi90xnih">
            <w:r w:rsidRPr="007C5E6F">
              <w:rPr>
                <w:rFonts w:ascii="Times New Roman" w:eastAsia="Times New Roman" w:hAnsi="Times New Roman" w:cs="Times New Roman"/>
                <w:color w:val="000000"/>
                <w:sz w:val="24"/>
                <w:szCs w:val="24"/>
              </w:rPr>
              <w:t>Límites actuales de la soberanía estatal en tres ámbitos clave: economía global, seguridad internacional y gobernanza ambiental, a través del análisis de casos de estudio específicos</w:t>
            </w:r>
            <w:r w:rsidRPr="007C5E6F">
              <w:rPr>
                <w:rFonts w:ascii="Times New Roman" w:eastAsia="Times New Roman" w:hAnsi="Times New Roman" w:cs="Times New Roman"/>
                <w:color w:val="000000"/>
                <w:sz w:val="24"/>
                <w:szCs w:val="24"/>
              </w:rPr>
              <w:tab/>
            </w:r>
          </w:hyperlink>
        </w:p>
        <w:p w14:paraId="00000031" w14:textId="668988AF" w:rsidR="00DD6724" w:rsidRPr="007C5E6F" w:rsidRDefault="00DD6724" w:rsidP="004C1A95">
          <w:pPr>
            <w:widowControl w:val="0"/>
            <w:tabs>
              <w:tab w:val="right" w:leader="dot" w:pos="12000"/>
            </w:tabs>
            <w:spacing w:before="60" w:line="480" w:lineRule="auto"/>
            <w:rPr>
              <w:color w:val="000000"/>
            </w:rPr>
          </w:pPr>
          <w:hyperlink w:anchor="_cdwupab34rea">
            <w:r w:rsidRPr="007C5E6F">
              <w:rPr>
                <w:rFonts w:ascii="Times New Roman" w:eastAsia="Times New Roman" w:hAnsi="Times New Roman" w:cs="Times New Roman"/>
                <w:color w:val="000000"/>
                <w:sz w:val="24"/>
                <w:szCs w:val="24"/>
              </w:rPr>
              <w:t>El impacto de la transformación de la soberanía en las dinámicas de poder del escenario internacional contemporáneo, considerando el papel de actores estatales, no estatales y organizaciones supranacionales</w:t>
            </w:r>
            <w:r w:rsidRPr="007C5E6F">
              <w:rPr>
                <w:rFonts w:ascii="Times New Roman" w:eastAsia="Times New Roman" w:hAnsi="Times New Roman" w:cs="Times New Roman"/>
                <w:color w:val="000000"/>
                <w:sz w:val="24"/>
                <w:szCs w:val="24"/>
              </w:rPr>
              <w:tab/>
            </w:r>
          </w:hyperlink>
        </w:p>
        <w:p w14:paraId="399A2B34" w14:textId="647675FF" w:rsidR="00F2226F" w:rsidRPr="00F2226F" w:rsidRDefault="00DD6724" w:rsidP="004C1A95">
          <w:pPr>
            <w:widowControl w:val="0"/>
            <w:tabs>
              <w:tab w:val="right" w:leader="dot" w:pos="12000"/>
            </w:tabs>
            <w:spacing w:before="60" w:line="480" w:lineRule="auto"/>
          </w:pPr>
          <w:hyperlink w:anchor="_kuu4xx3cs39c">
            <w:r w:rsidRPr="007C5E6F">
              <w:rPr>
                <w:rFonts w:ascii="Times New Roman" w:eastAsia="Times New Roman" w:hAnsi="Times New Roman" w:cs="Times New Roman"/>
                <w:b/>
                <w:bCs/>
                <w:color w:val="000000"/>
                <w:sz w:val="24"/>
                <w:szCs w:val="24"/>
              </w:rPr>
              <w:t>Conclusión</w:t>
            </w:r>
            <w:r w:rsidRPr="007C5E6F">
              <w:rPr>
                <w:rFonts w:ascii="Times New Roman" w:eastAsia="Times New Roman" w:hAnsi="Times New Roman" w:cs="Times New Roman"/>
                <w:b/>
                <w:bCs/>
                <w:color w:val="000000"/>
                <w:sz w:val="24"/>
                <w:szCs w:val="24"/>
              </w:rPr>
              <w:tab/>
            </w:r>
            <w:r w:rsidR="00F2226F">
              <w:rPr>
                <w:rFonts w:ascii="Times New Roman" w:eastAsia="Times New Roman" w:hAnsi="Times New Roman" w:cs="Times New Roman"/>
                <w:b/>
                <w:bCs/>
                <w:color w:val="000000"/>
                <w:sz w:val="24"/>
                <w:szCs w:val="24"/>
              </w:rPr>
              <w:t>67</w:t>
            </w:r>
          </w:hyperlink>
        </w:p>
        <w:p w14:paraId="00000033" w14:textId="6EA7A865" w:rsidR="00DD6724" w:rsidRPr="007C5E6F" w:rsidRDefault="00DD6724" w:rsidP="004C1A95">
          <w:pPr>
            <w:widowControl w:val="0"/>
            <w:tabs>
              <w:tab w:val="right" w:leader="dot" w:pos="12000"/>
            </w:tabs>
            <w:spacing w:before="60" w:line="480" w:lineRule="auto"/>
            <w:rPr>
              <w:b/>
              <w:bCs/>
              <w:color w:val="000000"/>
            </w:rPr>
          </w:pPr>
          <w:hyperlink w:anchor="_9f9j4im4zb4y">
            <w:r w:rsidRPr="007C5E6F">
              <w:rPr>
                <w:rFonts w:ascii="Times New Roman" w:eastAsia="Times New Roman" w:hAnsi="Times New Roman" w:cs="Times New Roman"/>
                <w:b/>
                <w:bCs/>
                <w:color w:val="000000"/>
                <w:sz w:val="24"/>
                <w:szCs w:val="24"/>
              </w:rPr>
              <w:t>7. Referentes bibliográficos</w:t>
            </w:r>
            <w:r w:rsidRPr="007C5E6F">
              <w:rPr>
                <w:rFonts w:ascii="Times New Roman" w:eastAsia="Times New Roman" w:hAnsi="Times New Roman" w:cs="Times New Roman"/>
                <w:b/>
                <w:bCs/>
                <w:color w:val="000000"/>
                <w:sz w:val="24"/>
                <w:szCs w:val="24"/>
              </w:rPr>
              <w:tab/>
            </w:r>
            <w:r w:rsidR="00F2226F">
              <w:rPr>
                <w:rFonts w:ascii="Times New Roman" w:eastAsia="Times New Roman" w:hAnsi="Times New Roman" w:cs="Times New Roman"/>
                <w:b/>
                <w:bCs/>
                <w:color w:val="000000"/>
                <w:sz w:val="24"/>
                <w:szCs w:val="24"/>
              </w:rPr>
              <w:t>71</w:t>
            </w:r>
          </w:hyperlink>
          <w:r w:rsidRPr="007C5E6F">
            <w:fldChar w:fldCharType="end"/>
          </w:r>
        </w:p>
      </w:sdtContent>
    </w:sdt>
    <w:p w14:paraId="00000038" w14:textId="77777777" w:rsidR="00DD6724" w:rsidRPr="007C5E6F" w:rsidRDefault="00DD6724" w:rsidP="004C1A95">
      <w:pPr>
        <w:spacing w:before="240" w:line="480" w:lineRule="auto"/>
        <w:rPr>
          <w:rFonts w:ascii="Times New Roman" w:eastAsia="Times New Roman" w:hAnsi="Times New Roman" w:cs="Times New Roman"/>
          <w:b/>
          <w:bCs/>
          <w:sz w:val="24"/>
          <w:szCs w:val="24"/>
        </w:rPr>
      </w:pPr>
    </w:p>
    <w:p w14:paraId="152F88C5" w14:textId="77777777" w:rsidR="00F277C7" w:rsidRPr="007C5E6F" w:rsidRDefault="00F277C7" w:rsidP="004C1A95">
      <w:pPr>
        <w:spacing w:before="240" w:line="480" w:lineRule="auto"/>
        <w:rPr>
          <w:rFonts w:ascii="Times New Roman" w:eastAsia="Times New Roman" w:hAnsi="Times New Roman" w:cs="Times New Roman"/>
          <w:b/>
          <w:bCs/>
          <w:sz w:val="24"/>
          <w:szCs w:val="24"/>
        </w:rPr>
      </w:pPr>
    </w:p>
    <w:p w14:paraId="70A8E840" w14:textId="77777777" w:rsidR="00F277C7" w:rsidRPr="007C5E6F" w:rsidRDefault="00F277C7" w:rsidP="004C1A95">
      <w:pPr>
        <w:spacing w:before="240" w:line="480" w:lineRule="auto"/>
        <w:rPr>
          <w:rFonts w:ascii="Times New Roman" w:eastAsia="Times New Roman" w:hAnsi="Times New Roman" w:cs="Times New Roman"/>
          <w:b/>
          <w:bCs/>
          <w:sz w:val="24"/>
          <w:szCs w:val="24"/>
        </w:rPr>
      </w:pPr>
    </w:p>
    <w:p w14:paraId="0AC60C5C" w14:textId="77777777" w:rsidR="00F277C7" w:rsidRPr="007C5E6F" w:rsidRDefault="00F277C7" w:rsidP="004C1A95">
      <w:pPr>
        <w:spacing w:before="240" w:line="480" w:lineRule="auto"/>
        <w:rPr>
          <w:rFonts w:ascii="Times New Roman" w:eastAsia="Times New Roman" w:hAnsi="Times New Roman" w:cs="Times New Roman"/>
          <w:b/>
          <w:bCs/>
          <w:sz w:val="24"/>
          <w:szCs w:val="24"/>
        </w:rPr>
      </w:pPr>
    </w:p>
    <w:p w14:paraId="0294A11A" w14:textId="77777777" w:rsidR="00F277C7" w:rsidRPr="007C5E6F" w:rsidRDefault="00F277C7" w:rsidP="004C1A95">
      <w:pPr>
        <w:spacing w:before="240" w:line="480" w:lineRule="auto"/>
        <w:rPr>
          <w:rFonts w:ascii="Times New Roman" w:eastAsia="Times New Roman" w:hAnsi="Times New Roman" w:cs="Times New Roman"/>
          <w:b/>
          <w:bCs/>
          <w:sz w:val="24"/>
          <w:szCs w:val="24"/>
        </w:rPr>
      </w:pPr>
    </w:p>
    <w:p w14:paraId="46AA582B" w14:textId="77777777" w:rsidR="00F277C7" w:rsidRPr="007C5E6F" w:rsidRDefault="00F277C7" w:rsidP="004C1A95">
      <w:pPr>
        <w:spacing w:before="240" w:line="480" w:lineRule="auto"/>
        <w:rPr>
          <w:rFonts w:ascii="Times New Roman" w:eastAsia="Times New Roman" w:hAnsi="Times New Roman" w:cs="Times New Roman"/>
          <w:b/>
          <w:bCs/>
          <w:sz w:val="24"/>
          <w:szCs w:val="24"/>
        </w:rPr>
      </w:pPr>
    </w:p>
    <w:p w14:paraId="352AB557" w14:textId="77777777" w:rsidR="00F277C7" w:rsidRPr="007C5E6F" w:rsidRDefault="00F277C7" w:rsidP="004C1A95">
      <w:pPr>
        <w:spacing w:before="240" w:line="480" w:lineRule="auto"/>
        <w:rPr>
          <w:rFonts w:ascii="Times New Roman" w:eastAsia="Times New Roman" w:hAnsi="Times New Roman" w:cs="Times New Roman"/>
          <w:b/>
          <w:bCs/>
          <w:sz w:val="24"/>
          <w:szCs w:val="24"/>
        </w:rPr>
      </w:pPr>
    </w:p>
    <w:p w14:paraId="1D4F105B" w14:textId="77777777" w:rsidR="00F277C7" w:rsidRPr="007C5E6F" w:rsidRDefault="00F277C7" w:rsidP="004C1A95">
      <w:pPr>
        <w:spacing w:before="240" w:line="480" w:lineRule="auto"/>
        <w:rPr>
          <w:rFonts w:ascii="Times New Roman" w:eastAsia="Times New Roman" w:hAnsi="Times New Roman" w:cs="Times New Roman"/>
          <w:b/>
          <w:bCs/>
          <w:sz w:val="24"/>
          <w:szCs w:val="24"/>
        </w:rPr>
      </w:pPr>
    </w:p>
    <w:p w14:paraId="2EC482A8" w14:textId="77777777" w:rsidR="00F277C7" w:rsidRPr="007C5E6F" w:rsidRDefault="00F277C7" w:rsidP="004C1A95">
      <w:pPr>
        <w:spacing w:before="240" w:line="480" w:lineRule="auto"/>
        <w:rPr>
          <w:rFonts w:ascii="Times New Roman" w:eastAsia="Times New Roman" w:hAnsi="Times New Roman" w:cs="Times New Roman"/>
          <w:b/>
          <w:bCs/>
          <w:sz w:val="24"/>
          <w:szCs w:val="24"/>
        </w:rPr>
      </w:pPr>
    </w:p>
    <w:p w14:paraId="3F30DEB5" w14:textId="77777777" w:rsidR="00F277C7" w:rsidRPr="007C5E6F" w:rsidRDefault="00F277C7" w:rsidP="004C1A95">
      <w:pPr>
        <w:spacing w:before="240" w:line="480" w:lineRule="auto"/>
        <w:rPr>
          <w:rFonts w:ascii="Times New Roman" w:eastAsia="Times New Roman" w:hAnsi="Times New Roman" w:cs="Times New Roman"/>
          <w:b/>
          <w:bCs/>
          <w:sz w:val="24"/>
          <w:szCs w:val="24"/>
        </w:rPr>
      </w:pPr>
    </w:p>
    <w:p w14:paraId="4FF30A16" w14:textId="77777777" w:rsidR="00F277C7" w:rsidRPr="007C5E6F" w:rsidRDefault="00F277C7" w:rsidP="004C1A95">
      <w:pPr>
        <w:spacing w:before="240" w:line="480" w:lineRule="auto"/>
        <w:rPr>
          <w:rFonts w:ascii="Times New Roman" w:eastAsia="Times New Roman" w:hAnsi="Times New Roman" w:cs="Times New Roman"/>
          <w:b/>
          <w:bCs/>
          <w:sz w:val="24"/>
          <w:szCs w:val="24"/>
        </w:rPr>
      </w:pPr>
    </w:p>
    <w:p w14:paraId="387677D3" w14:textId="77777777" w:rsidR="00F277C7" w:rsidRPr="007C5E6F" w:rsidRDefault="00F277C7" w:rsidP="004C1A95">
      <w:pPr>
        <w:spacing w:before="240" w:line="480" w:lineRule="auto"/>
        <w:rPr>
          <w:rFonts w:ascii="Times New Roman" w:eastAsia="Times New Roman" w:hAnsi="Times New Roman" w:cs="Times New Roman"/>
          <w:b/>
          <w:bCs/>
          <w:sz w:val="24"/>
          <w:szCs w:val="24"/>
        </w:rPr>
      </w:pPr>
    </w:p>
    <w:p w14:paraId="00000039" w14:textId="77777777" w:rsidR="00DD6724" w:rsidRPr="007C5E6F" w:rsidRDefault="0008355F" w:rsidP="004C1A95">
      <w:pPr>
        <w:pStyle w:val="Ttulo1"/>
        <w:numPr>
          <w:ilvl w:val="0"/>
          <w:numId w:val="1"/>
        </w:numPr>
        <w:spacing w:before="240" w:line="480" w:lineRule="auto"/>
        <w:ind w:left="0" w:firstLine="0"/>
        <w:rPr>
          <w:rFonts w:ascii="Times New Roman" w:eastAsia="Times New Roman" w:hAnsi="Times New Roman" w:cs="Times New Roman"/>
          <w:b/>
          <w:bCs/>
          <w:sz w:val="24"/>
          <w:szCs w:val="24"/>
        </w:rPr>
      </w:pPr>
      <w:bookmarkStart w:id="0" w:name="_avgduk27y4pa" w:colFirst="0" w:colLast="0"/>
      <w:bookmarkEnd w:id="0"/>
      <w:r w:rsidRPr="007C5E6F">
        <w:rPr>
          <w:rFonts w:ascii="Times New Roman" w:eastAsia="Times New Roman" w:hAnsi="Times New Roman" w:cs="Times New Roman"/>
          <w:b/>
          <w:bCs/>
          <w:sz w:val="24"/>
          <w:szCs w:val="24"/>
        </w:rPr>
        <w:t>Planteamiento del problema</w:t>
      </w:r>
    </w:p>
    <w:p w14:paraId="0000003A" w14:textId="77777777" w:rsidR="00DD6724" w:rsidRPr="007C5E6F" w:rsidRDefault="0008355F" w:rsidP="004C1A95">
      <w:pPr>
        <w:pStyle w:val="Ttulo2"/>
        <w:spacing w:before="240" w:line="480" w:lineRule="auto"/>
        <w:rPr>
          <w:rFonts w:ascii="Times New Roman" w:eastAsia="Times New Roman" w:hAnsi="Times New Roman" w:cs="Times New Roman"/>
          <w:b/>
          <w:bCs/>
          <w:sz w:val="24"/>
          <w:szCs w:val="24"/>
        </w:rPr>
      </w:pPr>
      <w:bookmarkStart w:id="1" w:name="_qkel8bp0rob" w:colFirst="0" w:colLast="0"/>
      <w:bookmarkEnd w:id="1"/>
      <w:r w:rsidRPr="007C5E6F">
        <w:rPr>
          <w:rFonts w:ascii="Times New Roman" w:eastAsia="Times New Roman" w:hAnsi="Times New Roman" w:cs="Times New Roman"/>
          <w:b/>
          <w:bCs/>
          <w:sz w:val="24"/>
          <w:szCs w:val="24"/>
        </w:rPr>
        <w:t>1.1 Descripción del problema</w:t>
      </w:r>
    </w:p>
    <w:p w14:paraId="0000003B"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concepto de soberanía estatal, pilar fundamental del orden internacional westfaliano, se enfrenta a desafíos sin precedentes en el contexto de la globalización. Este fenómeno ha diluido las fronteras tradicionales y ha creado una red de interdependencias que cuestiona la capacidad de los Estados para ejercer un control absoluto sobre sus asuntos internos y externos. El concepto "westfaliano" hace alusión al sistema internacional que surgió a raíz de la Paz de Westfalia del año1648. Este tratado marcó el fin de la Guerra de los Treinta Años en Europa y estableció principios fundamentales para las relaciones internacionales modernas.</w:t>
      </w:r>
    </w:p>
    <w:p w14:paraId="0000003C" w14:textId="672A6D81"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El tema principal que aborda esta investigación es la creciente discordancia entre la concepción tradicional de soberanía y las circunstancias de un mundo globalizado. La disonancia se refleja en varias dimensiones: la economía integrando los mercados globales y el poder de las multinacionales presuponen un reto para la autonomía </w:t>
      </w:r>
      <w:r w:rsidR="00EB7DD7" w:rsidRPr="007C5E6F">
        <w:rPr>
          <w:rFonts w:ascii="Times New Roman" w:eastAsia="Times New Roman" w:hAnsi="Times New Roman" w:cs="Times New Roman"/>
          <w:sz w:val="24"/>
          <w:szCs w:val="24"/>
        </w:rPr>
        <w:t>económica</w:t>
      </w:r>
      <w:r w:rsidRPr="007C5E6F">
        <w:rPr>
          <w:rFonts w:ascii="Times New Roman" w:eastAsia="Times New Roman" w:hAnsi="Times New Roman" w:cs="Times New Roman"/>
          <w:sz w:val="24"/>
          <w:szCs w:val="24"/>
        </w:rPr>
        <w:t xml:space="preserve"> de los países; la política por medio de la proliferación de organismos supranacionales y acuerdos internacionales limita la capacidad de toma de decisiones independientes de los gobiernos nacionales; el marco jurídico y legal también se ve afectado por la creación y desarrollo de tribunales transnacionales que cuestionan la supremacía de las leyes de los Estados.</w:t>
      </w:r>
    </w:p>
    <w:p w14:paraId="0000003D"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tecnología ha sido un aliado de los Estados, pero con la revolución digital y el ciberespacio se han creado espacios de interacción que trascienden las fronteras físicas y obstaculizan el control y regulación que ejercer los Estados; los temas ambientales, especialmente los problemas ecológicos globales que requieren soluciones coordinadas a menudo entran en conflicto con los intereses ambientales y económicos nacionales; por último, en materia de seguridad nacional, las amenazas como el terrorismo, la trata de personas o el crimen organizado, desafían la capacidad de los Estados para garantizar la seguridad de forma autónoma.</w:t>
      </w:r>
    </w:p>
    <w:p w14:paraId="0000003E"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Este proyecto intenta abordar cómo estos factores están transformando el concepto de soberanía y cuáles son los límites prácticos y teóricos de este concepto en el siglo XXI. Se explora la aparente paradoja entre la persistencia del Estado-nación como unidad política fundamental y la erosión de su capacidad para actuar de manera verdaderamente soberana.</w:t>
      </w:r>
    </w:p>
    <w:p w14:paraId="0000003F"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Además, se plantea el problema de cómo reconciliar la necesidad de cooperación internacional para enfrentar desafíos globales con el deseo de los Estados de mantener su autonomía. Esta tensión se observa en debates sobre intervenciones humanitarias, políticas migratorias, regulación del ciberespacio y respuestas a crisis financieras globales.</w:t>
      </w:r>
    </w:p>
    <w:p w14:paraId="00000040"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estudio de este problema es crucial para comprender las dinámicas del poder en el escenario internacional contemporáneo y para desarrollar marcos conceptuales que permitan abordar los desafíos de gobernanza global sin socavar completamente la integridad de los Estados soberanos.</w:t>
      </w:r>
    </w:p>
    <w:p w14:paraId="00000041" w14:textId="77777777" w:rsidR="00DD6724" w:rsidRPr="007C5E6F" w:rsidRDefault="0008355F" w:rsidP="004C1A95">
      <w:pPr>
        <w:pStyle w:val="Ttulo2"/>
        <w:spacing w:before="240" w:line="480" w:lineRule="auto"/>
        <w:rPr>
          <w:rFonts w:ascii="Times New Roman" w:eastAsia="Times New Roman" w:hAnsi="Times New Roman" w:cs="Times New Roman"/>
          <w:b/>
          <w:bCs/>
          <w:sz w:val="24"/>
          <w:szCs w:val="24"/>
        </w:rPr>
      </w:pPr>
      <w:bookmarkStart w:id="2" w:name="_6cti2e75omlz" w:colFirst="0" w:colLast="0"/>
      <w:bookmarkEnd w:id="2"/>
      <w:r w:rsidRPr="007C5E6F">
        <w:rPr>
          <w:rFonts w:ascii="Times New Roman" w:eastAsia="Times New Roman" w:hAnsi="Times New Roman" w:cs="Times New Roman"/>
          <w:b/>
          <w:bCs/>
          <w:sz w:val="24"/>
          <w:szCs w:val="24"/>
        </w:rPr>
        <w:t>1.2 Formulación del problema</w:t>
      </w:r>
    </w:p>
    <w:p w14:paraId="248CB07B" w14:textId="77777777" w:rsidR="00FB6845" w:rsidRPr="007C5E6F" w:rsidRDefault="00FB6845" w:rsidP="00FB6845">
      <w:pPr>
        <w:pStyle w:val="Ttulo1"/>
        <w:spacing w:before="240" w:line="480" w:lineRule="auto"/>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¿De qué manera los procesos de globalización han transformado el concepto y el ejercicio de la soberanía estatal, y cuáles son los límites que enfrentan los Estados en el contexto político, económico y jurídico del mundo contemporáneo?</w:t>
      </w:r>
    </w:p>
    <w:p w14:paraId="00000043" w14:textId="77777777" w:rsidR="00DD6724" w:rsidRPr="007C5E6F" w:rsidRDefault="0008355F" w:rsidP="004C1A95">
      <w:pPr>
        <w:pStyle w:val="Ttulo1"/>
        <w:spacing w:before="240" w:line="480" w:lineRule="auto"/>
        <w:rPr>
          <w:rFonts w:ascii="Times New Roman" w:eastAsia="Times New Roman" w:hAnsi="Times New Roman" w:cs="Times New Roman"/>
          <w:b/>
          <w:bCs/>
          <w:sz w:val="24"/>
          <w:szCs w:val="24"/>
        </w:rPr>
      </w:pPr>
      <w:r w:rsidRPr="007C5E6F">
        <w:rPr>
          <w:rFonts w:ascii="Times New Roman" w:eastAsia="Times New Roman" w:hAnsi="Times New Roman" w:cs="Times New Roman"/>
          <w:b/>
          <w:bCs/>
          <w:sz w:val="24"/>
          <w:szCs w:val="24"/>
        </w:rPr>
        <w:t>2. Justificación</w:t>
      </w:r>
    </w:p>
    <w:p w14:paraId="00000044"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Esta investigación es altamente pertinente en el campo de la Ciencia política porque pretende examinar cómo estos cambios impactan la soberanía y nos ayuda a comprender mejor quién tiene el control real en diversos contextos y cómo se toman las decisiones que influyen a nivel global. Estudiar este fenómeno facilita la identificación y comprensión de estas nuevas estructuras de poder, como los regímenes internacionales, las redes de gobernanza global y las instituciones supranacionales.</w:t>
      </w:r>
    </w:p>
    <w:p w14:paraId="00000045" w14:textId="315F0725"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viabilidad de este análisis radica en la existencia de una amplia literatura académica sobre soberanía y globalización, accesible a través de bibliotecas universitarias y bases de datos en línea, y un conocimiento previo de teoría de la globalización, política comparada y relaciones internacionales, así como acceso a expertos en el tema y docentes del programa de Ciencia política.</w:t>
      </w:r>
    </w:p>
    <w:p w14:paraId="00000046"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importancia de investigar radica en su contribución al desarrollo teórico en el campo de las relaciones internacionales y la ciencia política, ofreciendo nuevas perspectivas sobre un concepto fundamental como lo es la soberanía; la iluminación de las dinámicas cambiantes de poder en el escenario internacional, incluyendo el papel creciente de actores no estatales y organizaciones supranacionales.</w:t>
      </w:r>
    </w:p>
    <w:p w14:paraId="00000047" w14:textId="5A14935A"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No podemos olvidar el impacto en la formulación de políticas</w:t>
      </w:r>
      <w:r w:rsidR="00F42737" w:rsidRPr="007C5E6F">
        <w:rPr>
          <w:rFonts w:ascii="Times New Roman" w:eastAsia="Times New Roman" w:hAnsi="Times New Roman" w:cs="Times New Roman"/>
          <w:sz w:val="24"/>
          <w:szCs w:val="24"/>
        </w:rPr>
        <w:t xml:space="preserve"> públicas</w:t>
      </w:r>
      <w:r w:rsidRPr="007C5E6F">
        <w:rPr>
          <w:rFonts w:ascii="Times New Roman" w:eastAsia="Times New Roman" w:hAnsi="Times New Roman" w:cs="Times New Roman"/>
          <w:sz w:val="24"/>
          <w:szCs w:val="24"/>
        </w:rPr>
        <w:t>, entender los limites existentes actuales de la soberanía es necesario para la formulación de políticas que permitan desarrollar estrategias más efectivas para navegar en un mundo donde la autonomía estatal se encuentra amenazada por fuerzas globales, ayudando a los tomadores de decisiones a comprender mejor los límites y oportunidades de la acción estatal.</w:t>
      </w:r>
    </w:p>
    <w:p w14:paraId="00000048" w14:textId="77777777" w:rsidR="00DD6724" w:rsidRPr="007C5E6F" w:rsidRDefault="0008355F" w:rsidP="004C1A95">
      <w:pPr>
        <w:pStyle w:val="Ttulo1"/>
        <w:spacing w:before="240" w:line="480" w:lineRule="auto"/>
        <w:rPr>
          <w:rFonts w:ascii="Times New Roman" w:eastAsia="Times New Roman" w:hAnsi="Times New Roman" w:cs="Times New Roman"/>
          <w:b/>
          <w:bCs/>
          <w:sz w:val="24"/>
          <w:szCs w:val="24"/>
        </w:rPr>
      </w:pPr>
      <w:bookmarkStart w:id="3" w:name="_ngji55wt2jne" w:colFirst="0" w:colLast="0"/>
      <w:bookmarkEnd w:id="3"/>
      <w:r w:rsidRPr="007C5E6F">
        <w:rPr>
          <w:rFonts w:ascii="Times New Roman" w:eastAsia="Times New Roman" w:hAnsi="Times New Roman" w:cs="Times New Roman"/>
          <w:b/>
          <w:bCs/>
          <w:sz w:val="24"/>
          <w:szCs w:val="24"/>
        </w:rPr>
        <w:t>3. Objetivos</w:t>
      </w:r>
    </w:p>
    <w:p w14:paraId="00000049" w14:textId="77777777" w:rsidR="00DD6724" w:rsidRPr="007C5E6F" w:rsidRDefault="0008355F" w:rsidP="004C1A95">
      <w:pPr>
        <w:pStyle w:val="Ttulo2"/>
        <w:spacing w:before="240" w:line="480" w:lineRule="auto"/>
        <w:rPr>
          <w:rFonts w:ascii="Times New Roman" w:eastAsia="Times New Roman" w:hAnsi="Times New Roman" w:cs="Times New Roman"/>
          <w:b/>
          <w:bCs/>
          <w:sz w:val="24"/>
          <w:szCs w:val="24"/>
        </w:rPr>
      </w:pPr>
      <w:bookmarkStart w:id="4" w:name="_mpmnijylluxr" w:colFirst="0" w:colLast="0"/>
      <w:bookmarkEnd w:id="4"/>
      <w:r w:rsidRPr="007C5E6F">
        <w:rPr>
          <w:rFonts w:ascii="Times New Roman" w:eastAsia="Times New Roman" w:hAnsi="Times New Roman" w:cs="Times New Roman"/>
          <w:b/>
          <w:bCs/>
          <w:sz w:val="24"/>
          <w:szCs w:val="24"/>
        </w:rPr>
        <w:t>3.1 Objetivos generales</w:t>
      </w:r>
    </w:p>
    <w:p w14:paraId="2DC527D3" w14:textId="77777777" w:rsidR="002B7A68" w:rsidRPr="007C5E6F" w:rsidRDefault="002B7A68" w:rsidP="002B7A68">
      <w:pPr>
        <w:pStyle w:val="Ttulo2"/>
        <w:spacing w:before="240" w:line="480" w:lineRule="auto"/>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Analizar cómo los procesos de globalización han transformado el concepto y el ejercicio de la soberanía estatal, identificando los límites políticos, económicos y jurídicos que enfrentan los Estados en el contexto contemporáneo.</w:t>
      </w:r>
    </w:p>
    <w:p w14:paraId="0000004B" w14:textId="77777777" w:rsidR="00DD6724" w:rsidRPr="007C5E6F" w:rsidRDefault="0008355F" w:rsidP="004C1A95">
      <w:pPr>
        <w:pStyle w:val="Ttulo2"/>
        <w:spacing w:before="240" w:line="480" w:lineRule="auto"/>
        <w:rPr>
          <w:rFonts w:ascii="Times New Roman" w:eastAsia="Times New Roman" w:hAnsi="Times New Roman" w:cs="Times New Roman"/>
          <w:b/>
          <w:bCs/>
          <w:sz w:val="24"/>
          <w:szCs w:val="24"/>
        </w:rPr>
      </w:pPr>
      <w:r w:rsidRPr="007C5E6F">
        <w:rPr>
          <w:rFonts w:ascii="Times New Roman" w:eastAsia="Times New Roman" w:hAnsi="Times New Roman" w:cs="Times New Roman"/>
          <w:b/>
          <w:bCs/>
          <w:sz w:val="24"/>
          <w:szCs w:val="24"/>
        </w:rPr>
        <w:t>3.2 Objetivos específicos</w:t>
      </w:r>
    </w:p>
    <w:p w14:paraId="0000004C" w14:textId="77777777" w:rsidR="00DD6724" w:rsidRPr="007C5E6F" w:rsidRDefault="0008355F" w:rsidP="004C1A95">
      <w:pPr>
        <w:numPr>
          <w:ilvl w:val="0"/>
          <w:numId w:val="3"/>
        </w:numPr>
        <w:spacing w:before="240" w:line="480" w:lineRule="auto"/>
        <w:ind w:left="0" w:firstLine="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Enunciar la evolución de los diversos conceptos de soberanía estatal a través de la historia.</w:t>
      </w:r>
    </w:p>
    <w:p w14:paraId="0000004D" w14:textId="77777777" w:rsidR="00DD6724" w:rsidRPr="007C5E6F" w:rsidRDefault="0008355F" w:rsidP="004C1A95">
      <w:pPr>
        <w:numPr>
          <w:ilvl w:val="0"/>
          <w:numId w:val="3"/>
        </w:numPr>
        <w:spacing w:line="480" w:lineRule="auto"/>
        <w:ind w:left="0" w:firstLine="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Examinar los límites actuales de la soberanía estatal en tres ámbitos clave: economía global, </w:t>
      </w:r>
      <w:r w:rsidRPr="007C5E6F">
        <w:rPr>
          <w:rFonts w:ascii="Times New Roman" w:eastAsia="Times New Roman" w:hAnsi="Times New Roman" w:cs="Times New Roman"/>
          <w:sz w:val="24"/>
          <w:szCs w:val="24"/>
        </w:rPr>
        <w:tab/>
        <w:t>seguridad internacional y gobernanza ambiental, a través del análisis de casos de estudio específicos.</w:t>
      </w:r>
    </w:p>
    <w:p w14:paraId="0000004E" w14:textId="77777777" w:rsidR="00DD6724" w:rsidRDefault="0008355F" w:rsidP="004C1A95">
      <w:pPr>
        <w:numPr>
          <w:ilvl w:val="0"/>
          <w:numId w:val="3"/>
        </w:numPr>
        <w:spacing w:after="240" w:line="480" w:lineRule="auto"/>
        <w:ind w:left="0" w:firstLine="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Evaluar el impacto de </w:t>
      </w:r>
      <w:r w:rsidRPr="007C5E6F">
        <w:rPr>
          <w:rFonts w:ascii="Times New Roman" w:eastAsia="Times New Roman" w:hAnsi="Times New Roman" w:cs="Times New Roman"/>
          <w:sz w:val="24"/>
          <w:szCs w:val="24"/>
        </w:rPr>
        <w:tab/>
        <w:t>la transformación de la soberanía en</w:t>
      </w:r>
      <w:r w:rsidRPr="007C5E6F">
        <w:rPr>
          <w:rFonts w:ascii="Times New Roman" w:eastAsia="Times New Roman" w:hAnsi="Times New Roman" w:cs="Times New Roman"/>
          <w:sz w:val="24"/>
          <w:szCs w:val="24"/>
        </w:rPr>
        <w:tab/>
        <w:t>las dinámicas de poder del escenario internacional contemporáneo, considerando el papel de actores estatales, no estatales y organizaciones supranacionales.</w:t>
      </w:r>
    </w:p>
    <w:p w14:paraId="7BF3C7FF" w14:textId="77777777" w:rsidR="004057AD" w:rsidRDefault="004057AD" w:rsidP="004057AD">
      <w:pPr>
        <w:spacing w:after="240" w:line="480" w:lineRule="auto"/>
        <w:rPr>
          <w:rFonts w:ascii="Times New Roman" w:eastAsia="Times New Roman" w:hAnsi="Times New Roman" w:cs="Times New Roman"/>
          <w:sz w:val="24"/>
          <w:szCs w:val="24"/>
        </w:rPr>
      </w:pPr>
    </w:p>
    <w:p w14:paraId="5E0C509B" w14:textId="77777777" w:rsidR="004057AD" w:rsidRDefault="004057AD" w:rsidP="004057AD">
      <w:pPr>
        <w:spacing w:after="240" w:line="480" w:lineRule="auto"/>
        <w:rPr>
          <w:rFonts w:ascii="Times New Roman" w:eastAsia="Times New Roman" w:hAnsi="Times New Roman" w:cs="Times New Roman"/>
          <w:sz w:val="24"/>
          <w:szCs w:val="24"/>
        </w:rPr>
      </w:pPr>
    </w:p>
    <w:p w14:paraId="74DD0990" w14:textId="77777777" w:rsidR="004057AD" w:rsidRDefault="004057AD" w:rsidP="004057AD">
      <w:pPr>
        <w:spacing w:after="240" w:line="480" w:lineRule="auto"/>
        <w:rPr>
          <w:rFonts w:ascii="Times New Roman" w:eastAsia="Times New Roman" w:hAnsi="Times New Roman" w:cs="Times New Roman"/>
          <w:sz w:val="24"/>
          <w:szCs w:val="24"/>
        </w:rPr>
      </w:pPr>
    </w:p>
    <w:p w14:paraId="4001D853" w14:textId="77777777" w:rsidR="004057AD" w:rsidRDefault="004057AD" w:rsidP="004057AD">
      <w:pPr>
        <w:spacing w:after="240" w:line="480" w:lineRule="auto"/>
        <w:rPr>
          <w:rFonts w:ascii="Times New Roman" w:eastAsia="Times New Roman" w:hAnsi="Times New Roman" w:cs="Times New Roman"/>
          <w:sz w:val="24"/>
          <w:szCs w:val="24"/>
        </w:rPr>
      </w:pPr>
    </w:p>
    <w:p w14:paraId="7A651BF8" w14:textId="77777777" w:rsidR="004057AD" w:rsidRPr="007C5E6F" w:rsidRDefault="004057AD" w:rsidP="004057AD">
      <w:pPr>
        <w:spacing w:after="240" w:line="480" w:lineRule="auto"/>
        <w:rPr>
          <w:rFonts w:ascii="Times New Roman" w:eastAsia="Times New Roman" w:hAnsi="Times New Roman" w:cs="Times New Roman"/>
          <w:sz w:val="24"/>
          <w:szCs w:val="24"/>
        </w:rPr>
      </w:pPr>
    </w:p>
    <w:p w14:paraId="0000004F" w14:textId="77777777" w:rsidR="00DD6724" w:rsidRDefault="0008355F" w:rsidP="004C1A95">
      <w:pPr>
        <w:pStyle w:val="Ttulo1"/>
        <w:spacing w:before="240" w:line="480" w:lineRule="auto"/>
        <w:rPr>
          <w:rFonts w:ascii="Times New Roman" w:eastAsia="Times New Roman" w:hAnsi="Times New Roman" w:cs="Times New Roman"/>
          <w:b/>
          <w:bCs/>
          <w:sz w:val="24"/>
          <w:szCs w:val="24"/>
        </w:rPr>
      </w:pPr>
      <w:bookmarkStart w:id="5" w:name="_1r23n3w7od2" w:colFirst="0" w:colLast="0"/>
      <w:bookmarkEnd w:id="5"/>
      <w:r w:rsidRPr="007C5E6F">
        <w:rPr>
          <w:rFonts w:ascii="Times New Roman" w:eastAsia="Times New Roman" w:hAnsi="Times New Roman" w:cs="Times New Roman"/>
          <w:b/>
          <w:bCs/>
          <w:sz w:val="24"/>
          <w:szCs w:val="24"/>
        </w:rPr>
        <w:t>4. Marco de referencia</w:t>
      </w:r>
    </w:p>
    <w:p w14:paraId="2313579D" w14:textId="4EC92196" w:rsidR="00823783" w:rsidRPr="007C5E6F" w:rsidRDefault="00823783" w:rsidP="00823783">
      <w:pPr>
        <w:pStyle w:val="Ttulo2"/>
        <w:spacing w:before="240" w:line="480" w:lineRule="auto"/>
        <w:rPr>
          <w:rFonts w:ascii="Times New Roman" w:eastAsia="Times New Roman" w:hAnsi="Times New Roman" w:cs="Times New Roman"/>
          <w:b/>
          <w:bCs/>
          <w:sz w:val="24"/>
          <w:szCs w:val="24"/>
        </w:rPr>
      </w:pPr>
      <w:r w:rsidRPr="007C5E6F">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1</w:t>
      </w:r>
      <w:r w:rsidRPr="007C5E6F">
        <w:rPr>
          <w:rFonts w:ascii="Times New Roman" w:eastAsia="Times New Roman" w:hAnsi="Times New Roman" w:cs="Times New Roman"/>
          <w:b/>
          <w:bCs/>
          <w:sz w:val="24"/>
          <w:szCs w:val="24"/>
        </w:rPr>
        <w:t xml:space="preserve"> Marco </w:t>
      </w:r>
      <w:r w:rsidR="001974FB" w:rsidRPr="007C5E6F">
        <w:rPr>
          <w:rFonts w:ascii="Times New Roman" w:eastAsia="Times New Roman" w:hAnsi="Times New Roman" w:cs="Times New Roman"/>
          <w:b/>
          <w:bCs/>
          <w:sz w:val="24"/>
          <w:szCs w:val="24"/>
        </w:rPr>
        <w:t>te</w:t>
      </w:r>
      <w:r w:rsidR="001974FB">
        <w:rPr>
          <w:rFonts w:ascii="Times New Roman" w:eastAsia="Times New Roman" w:hAnsi="Times New Roman" w:cs="Times New Roman"/>
          <w:b/>
          <w:bCs/>
          <w:sz w:val="24"/>
          <w:szCs w:val="24"/>
        </w:rPr>
        <w:t>ó</w:t>
      </w:r>
      <w:r w:rsidR="001974FB" w:rsidRPr="007C5E6F">
        <w:rPr>
          <w:rFonts w:ascii="Times New Roman" w:eastAsia="Times New Roman" w:hAnsi="Times New Roman" w:cs="Times New Roman"/>
          <w:b/>
          <w:bCs/>
          <w:sz w:val="24"/>
          <w:szCs w:val="24"/>
        </w:rPr>
        <w:t>r</w:t>
      </w:r>
      <w:r w:rsidR="001974FB">
        <w:rPr>
          <w:rFonts w:ascii="Times New Roman" w:eastAsia="Times New Roman" w:hAnsi="Times New Roman" w:cs="Times New Roman"/>
          <w:b/>
          <w:bCs/>
          <w:sz w:val="24"/>
          <w:szCs w:val="24"/>
        </w:rPr>
        <w:t>i</w:t>
      </w:r>
      <w:r w:rsidR="001974FB" w:rsidRPr="007C5E6F">
        <w:rPr>
          <w:rFonts w:ascii="Times New Roman" w:eastAsia="Times New Roman" w:hAnsi="Times New Roman" w:cs="Times New Roman"/>
          <w:b/>
          <w:bCs/>
          <w:sz w:val="24"/>
          <w:szCs w:val="24"/>
        </w:rPr>
        <w:t>co</w:t>
      </w:r>
    </w:p>
    <w:p w14:paraId="3814EBD7"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soberanía es la capacidad que tiene cada Estado de autogestionarse, en otras palabras, su presencia internacional es igual de reconocida como su naturaleza interna y son vinculantes, siendo equiparables en importancia. Las fronteras físicas a lo largo de la historia han sido fundamentales para la soberanía, delimitando su ejercicio, pero su preponderancia se ha visto afectada y diluida ante el predominio de fronteras simbólicas y transaccionalidades, provocando la pérdida de autonomía.</w:t>
      </w:r>
    </w:p>
    <w:p w14:paraId="15A86DBA"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Bodin (1576) fue el fundador del concepto moderno de Soberanía definiéndola como </w:t>
      </w:r>
      <w:r w:rsidRPr="007C5E6F">
        <w:rPr>
          <w:rFonts w:ascii="Times New Roman" w:eastAsia="Times New Roman" w:hAnsi="Times New Roman" w:cs="Times New Roman"/>
          <w:i/>
          <w:iCs/>
          <w:sz w:val="24"/>
          <w:szCs w:val="24"/>
        </w:rPr>
        <w:t>"el poder absoluto y perpetuo de una república"</w:t>
      </w:r>
      <w:r w:rsidRPr="007C5E6F">
        <w:rPr>
          <w:rFonts w:ascii="Times New Roman" w:eastAsia="Times New Roman" w:hAnsi="Times New Roman" w:cs="Times New Roman"/>
          <w:sz w:val="24"/>
          <w:szCs w:val="24"/>
        </w:rPr>
        <w:t>, independiente de leyes humanas. Para él, el soberano solo está limitado por la ley divina y natural, no por las leyes positivas que él mismo promulga. Distingue entre el Estado (república) y el gobierno, y establece que la soberanía es indivisible.</w:t>
      </w:r>
    </w:p>
    <w:p w14:paraId="79862B25"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Posteriormente Hobbes (1651) propuso que antes del Estado los seres humanos viven en una condición de igualdad radical: todos pueden matar a todos, porque incluso el más débil puede matar al más fuerte mientras duerme. Esta igualdad produce desconfianza y, por tanto, guerra permanente.</w:t>
      </w:r>
    </w:p>
    <w:p w14:paraId="2B321B96" w14:textId="77777777" w:rsidR="00823783" w:rsidRPr="007C5E6F" w:rsidRDefault="00823783" w:rsidP="00823783">
      <w:pPr>
        <w:spacing w:before="240" w:line="480" w:lineRule="auto"/>
        <w:ind w:left="68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tal condición no hay lugar para la industria, ya que su fruto es incierto; y, consecuentemente, no hay cultivo de la tierra, ni navegación, ni uso de bienes que puedan importarse por mar, ni construcción confortable, ni instrumentos para mover y remover las cosas que requieren mucha fuerza, ni conocimiento de la faz de la tierra, ni cómputo del tiempo, ni artes, ni letras, ni sociedad; y lo que es peor que todo, miedo continuo y peligro de muerte violenta; y la vida del hombre, solitaria, pobre, desagradable, brutal y corta.</w:t>
      </w:r>
      <w:r w:rsidRPr="007C5E6F">
        <w:rPr>
          <w:rFonts w:ascii="Times New Roman" w:eastAsia="Times New Roman" w:hAnsi="Times New Roman" w:cs="Times New Roman"/>
          <w:sz w:val="24"/>
          <w:szCs w:val="24"/>
          <w:highlight w:val="white"/>
        </w:rPr>
        <w:t xml:space="preserve"> </w:t>
      </w:r>
      <w:r w:rsidRPr="007C5E6F">
        <w:rPr>
          <w:rFonts w:ascii="Times New Roman" w:eastAsia="Times New Roman" w:hAnsi="Times New Roman" w:cs="Times New Roman"/>
          <w:sz w:val="24"/>
          <w:szCs w:val="24"/>
        </w:rPr>
        <w:t xml:space="preserve"> (Hobbes, 1651/1980, p. 103)</w:t>
      </w:r>
    </w:p>
    <w:p w14:paraId="3C5907C2"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Esta idea nos lleva a pensar que, en ausencia de un poder político común, los seres humanos se encontrarían en una situación de inseguridad permanente, donde la ausencia de comercio, cultura y ley conduce a una existencia miserable y violenta.</w:t>
      </w:r>
    </w:p>
    <w:p w14:paraId="3E8B7525"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Hobbes define la condición natural de la humanidad como un Estado de guerra universal en el que, a falta de una autoridad que genere temor colectivo, cada individuo es enemigo potencial de los demás (Hobbes, 1651/1980, p. 101).</w:t>
      </w:r>
    </w:p>
    <w:p w14:paraId="0719D3DA"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Los individuos, movidos por el miedo a la muerte violenta y el deseo de una vida confortable, acuerdan ceder sus derechos naturales a un soberano. Este acuerdo es el contrato social. Pero y esto es decisivo el soberano no firma el contrato: está por encima de él. Solo los súbditos se obligan entre sí a obedecer al soberano.</w:t>
      </w:r>
    </w:p>
    <w:p w14:paraId="04E109A5" w14:textId="77777777" w:rsidR="00823783" w:rsidRPr="007C5E6F" w:rsidRDefault="00823783" w:rsidP="00823783">
      <w:pPr>
        <w:spacing w:before="240" w:line="480" w:lineRule="auto"/>
        <w:ind w:left="68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Se dice que un Estado ha sido instituido cuando una multitud de hombres convienen y pactan, cada uno con cada uno, que a un cierto hombre o asamblea de hombres se le otorgará, por mayoría, el derecho de representar a la persona de todos. (Hobbes, 1651/1980, p. 141)</w:t>
      </w:r>
    </w:p>
    <w:p w14:paraId="483BC24D"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Este postulado de Hobbes nos dice que el soberano tiene atributos indivisibles como lo son la irrevocabilidad: los súbditos no lo pueden destituir sin que esto implique contradecirse a sí mismos, pues ellos lo autorizaron a gobernar; es injuzgable: ninguna acción de él puede considerarse injusta hacia sus súbditos; es el único legislador: dictamina qué es justo e injusto, qué es buena o mala doctrina; controla la religión: al determinar qué es verdad religiosa públicamente válida.</w:t>
      </w:r>
    </w:p>
    <w:p w14:paraId="3799E920"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"Porque, por esta institución de un Estado, cada individuo es autor de todo lo que haga el soberano, de modo que no tiene ningún súbdito el derecho de protestar por ningún acto del soberano, alegando que es una injusticia." (Hobbes, 1651/1980, p. 145)</w:t>
      </w:r>
    </w:p>
    <w:p w14:paraId="269152B5"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Para entender lo que escribió Locke hay que situarnos en el contexto político que vivió, Locke escribe los </w:t>
      </w:r>
      <w:r w:rsidRPr="007C5E6F">
        <w:rPr>
          <w:rFonts w:ascii="Times New Roman" w:eastAsia="Times New Roman" w:hAnsi="Times New Roman" w:cs="Times New Roman"/>
          <w:i/>
          <w:iCs/>
          <w:sz w:val="24"/>
          <w:szCs w:val="24"/>
        </w:rPr>
        <w:t>Dos tratados sobre el gobierno civil</w:t>
      </w:r>
      <w:r w:rsidRPr="007C5E6F">
        <w:rPr>
          <w:rFonts w:ascii="Times New Roman" w:eastAsia="Times New Roman" w:hAnsi="Times New Roman" w:cs="Times New Roman"/>
          <w:sz w:val="24"/>
          <w:szCs w:val="24"/>
        </w:rPr>
        <w:t xml:space="preserve"> (1689) situado de la Revolución Gloriosa inglesa. Su propósito es doble: destruir el absolutismo de Robert Filmer (quien justificaba la monarquía absoluta por derecho divino) y construir una teoría del gobierno limitado y legítimo basado en el consentimiento.</w:t>
      </w:r>
    </w:p>
    <w:p w14:paraId="301EBAAE"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Estado de naturaleza en Locke se diferencia de forma marcada del planteado por Thomas Hobbes: no se caracteriza por el conflicto permanente, sino por una condición de paz regulada por la ley natural. En este escenario, los individuos son libres e iguales, y la razón entendida como expresión de dicha ley les impone el deber de no causar daño a otros en su vida, su salud, su libertad ni sus bienes, en palabras textuales:</w:t>
      </w:r>
    </w:p>
    <w:p w14:paraId="25EC5F48" w14:textId="77777777" w:rsidR="00823783" w:rsidRPr="007C5E6F" w:rsidRDefault="00823783" w:rsidP="00823783">
      <w:pPr>
        <w:spacing w:before="240" w:line="480" w:lineRule="auto"/>
        <w:ind w:left="68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Estado de naturaleza tiene una ley de naturaleza que lo gobierna y que obliga a todos; y la razón, que es esa ley, enseña a toda la humanidad que la consulte que, siendo todos iguales e independientes, ninguno debe dañar a otro en su vida, salud, libertad o posesiones. (Locke, 1689/2006, p. 36)</w:t>
      </w:r>
    </w:p>
    <w:p w14:paraId="78101E3A"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John Locke sostiene que los individuos cuentan con derechos naturales que existen con anterioridad al Estado y no dependen de él. Entre estos, el más desarrollado es el derecho de propiedad, el cual fundamenta en el trabajo: al aplicar su esfuerzo sobre los recursos de la naturaleza, la persona incorpora algo propio y adquiere de manera legítima aquello que produce.</w:t>
      </w:r>
    </w:p>
    <w:p w14:paraId="1D648571"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la teoría de Locke, el contrato social se estructura en dos momentos diferenciados y da lugar a un modelo de gobierno limitado. En primer lugar, se encuentra el pacto de sociedad, mediante el cual los individuos deciden unirse para conformar una comunidad política. Posteriormente, se configura el pacto de gobierno, a través del cual esa comunidad delega el ejercicio del poder en una autoridad, pero bajo la figura de un fideicomiso (</w:t>
      </w:r>
      <w:r w:rsidRPr="007C5E6F">
        <w:rPr>
          <w:rFonts w:ascii="Times New Roman" w:eastAsia="Times New Roman" w:hAnsi="Times New Roman" w:cs="Times New Roman"/>
          <w:i/>
          <w:iCs/>
          <w:sz w:val="24"/>
          <w:szCs w:val="24"/>
        </w:rPr>
        <w:t>trust</w:t>
      </w:r>
      <w:r w:rsidRPr="007C5E6F">
        <w:rPr>
          <w:rFonts w:ascii="Times New Roman" w:eastAsia="Times New Roman" w:hAnsi="Times New Roman" w:cs="Times New Roman"/>
          <w:sz w:val="24"/>
          <w:szCs w:val="24"/>
        </w:rPr>
        <w:t>). Esto implica que el gobierno no es titular absoluto del poder, sino su administrador, y su función principal es garantizar la protección de los derechos naturales, sin poder disponer arbitrariamente de ellos.</w:t>
      </w:r>
    </w:p>
    <w:p w14:paraId="346008F5"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 menester también hablar sobre la importancia que tiene en los Estado-nación la soberanía, atributo inamovible y fundamental en su configuración, en el contexto contemporáneo, enfrenta desafíos derivados de la globalización, los movimientos transnacionales, las identidades subnacionales y supranacionales, y la creciente importancia de actores no estatales.</w:t>
      </w:r>
    </w:p>
    <w:p w14:paraId="63446EBA"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Respecto a la globalización, precursor del globalismo y mayor diluidor de la soberanía, Held &amp; McGrew (2007) la presentan como un proceso o serie de procesos que implican una transformación de la organización espacial de las relaciones y transacciones en términos de la extensión, intensidad, velocidad e impacto que genera flujos transcontinentales o interregionales y diversas redes de actividades.</w:t>
      </w:r>
    </w:p>
    <w:p w14:paraId="5358B999"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David Held desarrolla una de las propuestas más influyentes para comprender la reconfiguración del poder político en la era de la globalización. Su planteamiento parte de la constatación de que el Estado-nación contemporáneo ya no puede sostenerse como unidad autónoma y autosuficiente, dado que los procesos económicos, tecnológicos, culturales y políticos desbordan crecientemente las fronteras nacionales, configurando lo que el autor describe como densas redes de interconexión regional y global que socavan los supuestos sobre los que se edificó la democracia moderna (Held, 1997).</w:t>
      </w:r>
    </w:p>
    <w:p w14:paraId="0DD50F3B"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Uno de los ejes centrales de su teoría es la erosión de la soberanía estatal en su sentido westfaliano clásico. Held no sostiene la desaparición del Estado, sino la recomposición de su capacidad de control ante la proliferación de actores y dinámicas globales: organizaciones internacionales, corporaciones transnacionales y regímenes jurídicos supranacionales que operan por encima o al margen de la autoridad estatal (Held, 1997). Esta transformación implica que el poder político se redistribuye en múltiples niveles local, nacional, regional y global, dando lugar a lo que Held y McGrew (2002) conceptualizan como un sistema de gobernanza multinivel.</w:t>
      </w:r>
    </w:p>
    <w:p w14:paraId="41B60C72"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este marco, Held (1997) introduce el concepto de democracia cosmopolita, propuesta normativa que busca adaptar los principios democráticos a las condiciones de un mundo globalizado. El argumento central es que, si las decisiones que afectan a las personas se toman cada vez más fuera del ámbito del Estado, entonces los principios de participación, representación y rendición de cuentas también deben proyectarse hacia esos niveles. Ello exige la creación o el fortalecimiento de instituciones internacionales dotadas de mayor transparencia y legitimidad democrática, capaces de regular fenómenos como el cambio climático, las crisis financieras o los flujos migratorios (Held, 1997; Held et al., 1999).</w:t>
      </w:r>
    </w:p>
    <w:p w14:paraId="00084C3B"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Asimismo, Held et al. (1999) advierten que la globalización no constituye un proceso homogéneo ni exclusivamente económico, sino un fenómeno multidimensional que transforma de manera simultánea las estructuras de poder, las identidades políticas y los marcos jurídicos. Desde esta perspectiva, resultan insuficientes las lecturas que reducen la globalización a la expansión de los mercados, pues su impacto alcanza la redefinición misma de la ciudadanía y de la legitimidad política.</w:t>
      </w:r>
    </w:p>
    <w:p w14:paraId="59612C9A"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Finalmente, la propuesta de Held no aspira a sustituir al Estado, sino a reconfigurarlo dentro de un orden global más amplio, en el que la soberanía se conciba de manera compartida y articulada con otros niveles de gobierno (Held, 1997). De esta forma, su marco teórico ofrece una base conceptual fundamental para analizar los desafíos contemporáneos de la gobernanza global y la necesidad de construir formas más inclusivas y democráticas de organización política en el escenario internacional.</w:t>
      </w:r>
    </w:p>
    <w:p w14:paraId="7FF9007C"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La globalización es un fenómeno que solo puede comprenderse a cabalidad a partir del análisis de sus rasgos constitutivos. El primero y más definitorio es la interconexión, entendida como la articulación dinámica entre naciones y regiones a escala planetaria. A esta le sigue la interdependencia, que refleja el vínculo creciente entre los Estados en los planos económico, político y cultural, en contraste con esta encontramos la Teoría de La Dependencia que, si bien postula una relación entre los estados, señala una dinámica de poder en donde países del norte global ejercen control sobre estados periféricos, según esta teoría, el desarrollo del centro ocurre a costa del subdesarrollo de la periferia. </w:t>
      </w:r>
    </w:p>
    <w:p w14:paraId="0E949C25"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ámbito material, la globalización se expresa en la intensificación del comercio internacional, que facilita la circulación de bienes y servicios más allá de las fronteras nacionales. En el plano informacional, las tecnologías de la comunicación han posibilitado un acceso a la información sin comparación histórica posible. Finalmente, la movilidad humana constituye otra dimensión central del proceso, al impulsar desplazamientos migratorios motivados por la búsqueda de oportunidades económicas y mejores condiciones de vida.</w:t>
      </w:r>
    </w:p>
    <w:p w14:paraId="7636FE19"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Autores como Bauman (2001) en su obra </w:t>
      </w:r>
      <w:r w:rsidRPr="007C5E6F">
        <w:rPr>
          <w:rFonts w:ascii="Times New Roman" w:eastAsia="Times New Roman" w:hAnsi="Times New Roman" w:cs="Times New Roman"/>
          <w:i/>
          <w:iCs/>
          <w:sz w:val="24"/>
          <w:szCs w:val="24"/>
        </w:rPr>
        <w:t>Globalization. The Human Consequences,</w:t>
      </w:r>
      <w:r w:rsidRPr="007C5E6F">
        <w:rPr>
          <w:rFonts w:ascii="Times New Roman" w:eastAsia="Times New Roman" w:hAnsi="Times New Roman" w:cs="Times New Roman"/>
          <w:sz w:val="24"/>
          <w:szCs w:val="24"/>
        </w:rPr>
        <w:t xml:space="preserve"> argumenta que el fenómeno de la globalización ha dado como consecuencia la creación de una sociedad líquida, en la que las estructuras sociales y las identidades son fluidas y cambiantes, aspecto que antagoniza con la identidad de los Estados-Nación; Analiza cómo la movilidad global de capital, mercancías e información ha impactado en la vida de las personas, generando desafíos no solo a nivel estatal, sino también impactado a nivel social.</w:t>
      </w:r>
    </w:p>
    <w:p w14:paraId="36BEE9F0" w14:textId="77777777" w:rsidR="00823783" w:rsidRPr="007C5E6F" w:rsidRDefault="00823783" w:rsidP="0082378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Según la teoría de Bauman (2001), la globalización ha llevado a la fragmentación de las comunidades, la volatilidad de las relaciones, la pérdida de identidad y sentido de pertenencia, el individualismo y el consumismo, y las desigualdades económicas y sociales.</w:t>
      </w:r>
    </w:p>
    <w:p w14:paraId="6AE88BBB" w14:textId="77777777" w:rsidR="00823783" w:rsidRPr="00823783" w:rsidRDefault="00823783" w:rsidP="00823783"/>
    <w:p w14:paraId="00000050" w14:textId="7A8DA6E4" w:rsidR="00DD6724" w:rsidRPr="007C5E6F" w:rsidRDefault="0008355F" w:rsidP="004C1A95">
      <w:pPr>
        <w:pStyle w:val="Ttulo2"/>
        <w:spacing w:before="240" w:line="480" w:lineRule="auto"/>
        <w:rPr>
          <w:rFonts w:ascii="Times New Roman" w:eastAsia="Times New Roman" w:hAnsi="Times New Roman" w:cs="Times New Roman"/>
          <w:b/>
          <w:bCs/>
          <w:sz w:val="24"/>
          <w:szCs w:val="24"/>
        </w:rPr>
      </w:pPr>
      <w:bookmarkStart w:id="6" w:name="_m9pkpcsae4xh" w:colFirst="0" w:colLast="0"/>
      <w:bookmarkEnd w:id="6"/>
      <w:r w:rsidRPr="007C5E6F">
        <w:rPr>
          <w:rFonts w:ascii="Times New Roman" w:eastAsia="Times New Roman" w:hAnsi="Times New Roman" w:cs="Times New Roman"/>
          <w:b/>
          <w:bCs/>
          <w:sz w:val="24"/>
          <w:szCs w:val="24"/>
        </w:rPr>
        <w:t>4.</w:t>
      </w:r>
      <w:r w:rsidR="00823783">
        <w:rPr>
          <w:rFonts w:ascii="Times New Roman" w:eastAsia="Times New Roman" w:hAnsi="Times New Roman" w:cs="Times New Roman"/>
          <w:b/>
          <w:bCs/>
          <w:sz w:val="24"/>
          <w:szCs w:val="24"/>
        </w:rPr>
        <w:t>2</w:t>
      </w:r>
      <w:r w:rsidRPr="007C5E6F">
        <w:rPr>
          <w:rFonts w:ascii="Times New Roman" w:eastAsia="Times New Roman" w:hAnsi="Times New Roman" w:cs="Times New Roman"/>
          <w:b/>
          <w:bCs/>
          <w:sz w:val="24"/>
          <w:szCs w:val="24"/>
        </w:rPr>
        <w:t xml:space="preserve"> Marco conceptual</w:t>
      </w:r>
    </w:p>
    <w:p w14:paraId="00000051" w14:textId="77777777" w:rsidR="00DD6724" w:rsidRPr="007C5E6F" w:rsidRDefault="0008355F" w:rsidP="004C1A95">
      <w:pPr>
        <w:spacing w:before="240" w:line="480" w:lineRule="auto"/>
        <w:rPr>
          <w:rFonts w:ascii="Times New Roman" w:eastAsia="Times New Roman" w:hAnsi="Times New Roman" w:cs="Times New Roman"/>
          <w:b/>
          <w:bCs/>
          <w:sz w:val="24"/>
          <w:szCs w:val="24"/>
        </w:rPr>
      </w:pPr>
      <w:r w:rsidRPr="007C5E6F">
        <w:rPr>
          <w:rFonts w:ascii="Times New Roman" w:eastAsia="Times New Roman" w:hAnsi="Times New Roman" w:cs="Times New Roman"/>
          <w:b/>
          <w:bCs/>
          <w:sz w:val="24"/>
          <w:szCs w:val="24"/>
        </w:rPr>
        <w:t>Soberanía</w:t>
      </w:r>
    </w:p>
    <w:p w14:paraId="4456E34F" w14:textId="77777777" w:rsidR="000A4BF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La soberanía estatal constituye un concepto fundamental en el ámbito del </w:t>
      </w:r>
      <w:r w:rsidR="00CF2638" w:rsidRPr="007C5E6F">
        <w:rPr>
          <w:rFonts w:ascii="Times New Roman" w:eastAsia="Times New Roman" w:hAnsi="Times New Roman" w:cs="Times New Roman"/>
          <w:sz w:val="24"/>
          <w:szCs w:val="24"/>
        </w:rPr>
        <w:t>derecho y las relaciones internacionales</w:t>
      </w:r>
      <w:r w:rsidRPr="007C5E6F">
        <w:rPr>
          <w:rFonts w:ascii="Times New Roman" w:eastAsia="Times New Roman" w:hAnsi="Times New Roman" w:cs="Times New Roman"/>
          <w:sz w:val="24"/>
          <w:szCs w:val="24"/>
        </w:rPr>
        <w:t>.</w:t>
      </w:r>
    </w:p>
    <w:p w14:paraId="4AB1EC27" w14:textId="77777777" w:rsidR="000A4BFF" w:rsidRDefault="000A4BFF" w:rsidP="004C1A95">
      <w:pPr>
        <w:spacing w:before="240" w:line="480" w:lineRule="auto"/>
        <w:ind w:firstLine="720"/>
        <w:rPr>
          <w:rFonts w:ascii="Times New Roman" w:eastAsia="Times New Roman" w:hAnsi="Times New Roman" w:cs="Times New Roman"/>
          <w:sz w:val="24"/>
          <w:szCs w:val="24"/>
        </w:rPr>
      </w:pPr>
    </w:p>
    <w:p w14:paraId="4F3D115A" w14:textId="77777777" w:rsidR="000A4BFF" w:rsidRDefault="000A4BFF" w:rsidP="004C1A95">
      <w:pPr>
        <w:spacing w:before="240" w:line="480" w:lineRule="auto"/>
        <w:ind w:firstLine="720"/>
        <w:rPr>
          <w:rFonts w:ascii="Times New Roman" w:eastAsia="Times New Roman" w:hAnsi="Times New Roman" w:cs="Times New Roman"/>
          <w:sz w:val="24"/>
          <w:szCs w:val="24"/>
        </w:rPr>
      </w:pPr>
    </w:p>
    <w:p w14:paraId="00000052" w14:textId="26BD8250"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 En este sentido, Jean Bodin la define como la autoridad suprema y exclusiva que un Estado ejerce sobre su territorio y su población</w:t>
      </w:r>
      <w:r w:rsidR="00F508A7" w:rsidRPr="007C5E6F">
        <w:rPr>
          <w:rFonts w:ascii="Times New Roman" w:eastAsia="Times New Roman" w:hAnsi="Times New Roman" w:cs="Times New Roman"/>
          <w:sz w:val="24"/>
          <w:szCs w:val="24"/>
        </w:rPr>
        <w:t>.</w:t>
      </w:r>
      <w:r w:rsidRPr="007C5E6F">
        <w:rPr>
          <w:rFonts w:ascii="Times New Roman" w:eastAsia="Times New Roman" w:hAnsi="Times New Roman" w:cs="Times New Roman"/>
          <w:sz w:val="24"/>
          <w:szCs w:val="24"/>
        </w:rPr>
        <w:t xml:space="preserve"> Bodin, </w:t>
      </w:r>
      <w:r w:rsidR="00F508A7" w:rsidRPr="007C5E6F">
        <w:rPr>
          <w:rFonts w:ascii="Times New Roman" w:eastAsia="Times New Roman" w:hAnsi="Times New Roman" w:cs="Times New Roman"/>
          <w:sz w:val="24"/>
          <w:szCs w:val="24"/>
        </w:rPr>
        <w:t>(</w:t>
      </w:r>
      <w:r w:rsidRPr="007C5E6F">
        <w:rPr>
          <w:rFonts w:ascii="Times New Roman" w:eastAsia="Times New Roman" w:hAnsi="Times New Roman" w:cs="Times New Roman"/>
          <w:sz w:val="24"/>
          <w:szCs w:val="24"/>
        </w:rPr>
        <w:t>1576). Este principio implica que el Estado goza de autonomía política para adoptar decisiones sobre sus asuntos internos sin la injerencia de otros actores internacionales.</w:t>
      </w:r>
    </w:p>
    <w:p w14:paraId="00000053"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soberanía estatal se manifiesta en la integridad territorial, donde el Estado mantiene control exclusivo sobre su territorio reconocido internacionalmente. Esto se complementa con el principio de no intervención, que obliga a otros Estados a abstenerse de interferir en los asuntos internos de un Estado soberano.</w:t>
      </w:r>
    </w:p>
    <w:p w14:paraId="00000054"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plano internacional, la soberanía se expresa a través de la igualdad jurídica entre Estados, considerándolos iguales ante el derecho internacional, independientemente de su tamaño o poder. El reconocimiento internacional de la soberanía por parte de otros Estados y organizaciones internacionales es un aspecto crucial de este concepto.</w:t>
      </w:r>
    </w:p>
    <w:p w14:paraId="00000055"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Internamente, la soberanía se refleja en el monopolio del uso legítimo de la fuerza por parte del Estado dentro de su territorio, permitiéndole mantener el orden y hacer cumplir las leyes. Además, la soberanía confiere al Estado la capacidad de establecer relaciones internacionales, entablar relaciones diplomáticas y firmar tratados con otros Estados.</w:t>
      </w:r>
    </w:p>
    <w:p w14:paraId="4246D67A" w14:textId="77777777" w:rsidR="00FC29CF" w:rsidRPr="007C5E6F" w:rsidRDefault="00FC29C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La comprensión moderna de la soberanía estatal encuentra en Max Weber uno de sus fundamentos teóricos más sólidos. Weber establece que "un Estado es aquella comunidad humana que, dentro de un determinado territorio siendo el territorio el elemento distintivo, reclama con éxito para sí el monopolio de la violencia física legítima" (Weber, 1919/1996, p. 83). Esta definición es decisiva para el análisis de la soberanía porque desplaza el foco de los </w:t>
      </w:r>
      <w:r w:rsidRPr="007C5E6F">
        <w:rPr>
          <w:rFonts w:ascii="Times New Roman" w:eastAsia="Times New Roman" w:hAnsi="Times New Roman" w:cs="Times New Roman"/>
          <w:i/>
          <w:iCs/>
          <w:sz w:val="24"/>
          <w:szCs w:val="24"/>
        </w:rPr>
        <w:t>fines</w:t>
      </w:r>
      <w:r w:rsidRPr="007C5E6F">
        <w:rPr>
          <w:rFonts w:ascii="Times New Roman" w:eastAsia="Times New Roman" w:hAnsi="Times New Roman" w:cs="Times New Roman"/>
          <w:sz w:val="24"/>
          <w:szCs w:val="24"/>
        </w:rPr>
        <w:t xml:space="preserve"> del Estado hacia sus </w:t>
      </w:r>
      <w:r w:rsidRPr="007C5E6F">
        <w:rPr>
          <w:rFonts w:ascii="Times New Roman" w:eastAsia="Times New Roman" w:hAnsi="Times New Roman" w:cs="Times New Roman"/>
          <w:i/>
          <w:iCs/>
          <w:sz w:val="24"/>
          <w:szCs w:val="24"/>
        </w:rPr>
        <w:t>medios</w:t>
      </w:r>
      <w:r w:rsidRPr="007C5E6F">
        <w:rPr>
          <w:rFonts w:ascii="Times New Roman" w:eastAsia="Times New Roman" w:hAnsi="Times New Roman" w:cs="Times New Roman"/>
          <w:sz w:val="24"/>
          <w:szCs w:val="24"/>
        </w:rPr>
        <w:t xml:space="preserve">: no es soberano quien declara serlo, sino quien logra ejercer con efectividad ese control exclusivo sobre su territorio. </w:t>
      </w:r>
    </w:p>
    <w:p w14:paraId="7C1F3B03" w14:textId="5622A02F" w:rsidR="00FC29CF" w:rsidRPr="007C5E6F" w:rsidRDefault="00FC29C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La soberanía, en términos weberianos, no es meramente una categoría jurídica sino una realidad fáctica que debe sostenerse en la práctica. A este fundamento se articula su teoría de la dominación legítima, donde Weber (1922/2002) distingue tres tipos de autoridad: tradicional, carismática y racional-legal, siendo esta última la que sustenta al Estado moderno mediante la "creencia en la autoridad legal y en sus órdenes" (Weber, 1922/2002, p. 172). Bajo esta lógica, la soberanía no </w:t>
      </w:r>
      <w:r w:rsidR="000C6692" w:rsidRPr="007C5E6F">
        <w:rPr>
          <w:rFonts w:ascii="Times New Roman" w:eastAsia="Times New Roman" w:hAnsi="Times New Roman" w:cs="Times New Roman"/>
          <w:sz w:val="24"/>
          <w:szCs w:val="24"/>
        </w:rPr>
        <w:t xml:space="preserve">tiene su génesis en </w:t>
      </w:r>
      <w:r w:rsidRPr="007C5E6F">
        <w:rPr>
          <w:rFonts w:ascii="Times New Roman" w:eastAsia="Times New Roman" w:hAnsi="Times New Roman" w:cs="Times New Roman"/>
          <w:sz w:val="24"/>
          <w:szCs w:val="24"/>
        </w:rPr>
        <w:t xml:space="preserve">una persona sino de un orden jurídico impersonal al que gobernantes y gobernados están igualmente sometidos. </w:t>
      </w:r>
    </w:p>
    <w:p w14:paraId="460BB71A" w14:textId="05BF87D9" w:rsidR="00FC29CF" w:rsidRPr="007C5E6F" w:rsidRDefault="00FC29C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contexto contemporáneo, la arquitectura teórica weberiana enfrenta tensiones inéditas que revelan el carácter dinámico y en permanente evolución de la soberanía estatal. La globalización, el surgimiento de organismos supranacionales y el debilitamiento del multilateralismo cuestionan si los Estados siguen siendo los titulares exclusivos del monopolio que Weber describió, o si la soberanía ha comenzado a fragmentarse y vaciarse de contenido real. Este debate se profundiza cuando se consideran fenómenos como la expansión del derecho internacional de los derechos humanos, los mecanismos de cooperación internacional y el creciente protagonismo de instituciones que operan por encima de las fronteras nacionales, todo lo cual refleja la complejidad y la continua relevancia de la soberanía como categoría analítica en el escenario mundial del siglo XXI.</w:t>
      </w:r>
    </w:p>
    <w:p w14:paraId="00000057" w14:textId="77777777" w:rsidR="00DD6724" w:rsidRPr="007C5E6F" w:rsidRDefault="0008355F" w:rsidP="004C1A95">
      <w:pPr>
        <w:spacing w:before="240" w:line="480" w:lineRule="auto"/>
        <w:rPr>
          <w:rFonts w:ascii="Times New Roman" w:eastAsia="Times New Roman" w:hAnsi="Times New Roman" w:cs="Times New Roman"/>
          <w:b/>
          <w:bCs/>
          <w:sz w:val="24"/>
          <w:szCs w:val="24"/>
        </w:rPr>
      </w:pPr>
      <w:r w:rsidRPr="007C5E6F">
        <w:rPr>
          <w:rFonts w:ascii="Times New Roman" w:eastAsia="Times New Roman" w:hAnsi="Times New Roman" w:cs="Times New Roman"/>
          <w:b/>
          <w:bCs/>
          <w:sz w:val="24"/>
          <w:szCs w:val="24"/>
        </w:rPr>
        <w:t>Frontera</w:t>
      </w:r>
    </w:p>
    <w:p w14:paraId="00000058"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Se refiere a la delimitación física y jurídica que separa el territorio de un Estado soberano de otro, marcando el límite de la jurisdicción y soberanía de cada entidad política. Las fronteras son construcciones políticas y sociales que desempeñan un papel crucial en la organización del espacio geopolítico mundial.</w:t>
      </w:r>
    </w:p>
    <w:p w14:paraId="00000059"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Las fronteras, frecuentemente resultado de procesos históricos, negociaciones diplomáticas o conflictos, delimitan el espacio territorial en el que un Estado ejerce su autoridad y aplica su ordenamiento jurídico. En este sentido, Friedrich Ratzel sostiene que la frontera no debe entenderse como una línea estática y pasiva, sino como un reflejo dinámico de la vitalidad y expansión del Estado (Ratzel, 1897). Asimismo, el autor plantea que el territorio posee una capacidad productiva limitada, por lo que el crecimiento demográfico tiende a impulsar la expansión de las fronteras como una necesidad del propio desarrollo estatal (Ratzel, 1897).</w:t>
      </w:r>
    </w:p>
    <w:p w14:paraId="0000005A"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ámbito político, las fronteras cumplen varias funciones fundamentales como la de delimitar el espacio donde se ejerce la soberanía estatal, permitiendo al Estado controlar el movimiento de personas, bienes y servicios que entran o salen de su territorio. Sirven como instrumentos de seguridad nacional, facilitando la defensa del territorio y la prevención de amenazas externas. Actúan como marcadores de identidad nacional, contribuyendo a la formación y mantenimiento de las identidades colectivas y el sentido de pertenencia a una comunidad política específica.</w:t>
      </w:r>
    </w:p>
    <w:p w14:paraId="0000005B"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Son puntos de contacto e interacción entre Estados, donde se materializan las relaciones internacionales a través de acuerdos fronterizos, cooperación transfronteriza y gestión conjunta de recursos compartidos. Funcionan como instrumentos de política económica, permitiendo al Estado regular el comercio internacional y aplicar políticas aduaneras.</w:t>
      </w:r>
    </w:p>
    <w:p w14:paraId="0000005C"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Autores modernos han ampliado la comprensión de las fronteras más allá de su dimensión geográfica. En este sentido, Malcolm Anderson sostiene que las fronteras no se limitan a ser simples líneas cartográficas, sino que están profundamente vinculadas a los procesos de formación y evolución de los Estados. Desde esta perspectiva, su estudio resulta fundamental para comprender las dinámicas políticas y las relaciones de poder en el escenario internacional (Anderson, 1996).</w:t>
      </w:r>
    </w:p>
    <w:p w14:paraId="0000005D"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Anderson descarta entender la frontera como algo puramente geográfico o dado por la naturaleza. Desde su perspectiva, las razones que se esgrimen para sustentar las políticas fronterizas abren interrogantes decisivos y en muchos casos intensos sobre la ciudadanía, la identidad, la lealtad política y el propósito mismo del Estado.</w:t>
      </w:r>
    </w:p>
    <w:p w14:paraId="0000005E"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contexto político contemporáneo, el concepto de frontera está en constante evolución. Los procesos de globalización, integración regional y el surgimiento de nuevas tecnologías han llevado a reconsiderar la naturaleza y función de las fronteras. Algunos argumentan que las fronteras se están volviendo más porosas y flexibles, y otros, que están experimentando un proceso de reforzamiento.</w:t>
      </w:r>
    </w:p>
    <w:p w14:paraId="0000005F"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gestión política de las fronteras implica equilibrar diversos intereses, incluyendo la seguridad nacional, el desarrollo económico, la cooperación internacional y los derechos humanos. Esto hace que las fronteras sean no solo líneas en un mapa, sino espacios complejos de negociación política, tanto a nivel nacional como internacional.</w:t>
      </w:r>
    </w:p>
    <w:p w14:paraId="6D55778E" w14:textId="77777777" w:rsidR="008A7117" w:rsidRPr="007C5E6F" w:rsidRDefault="0008355F" w:rsidP="004C1A95">
      <w:pPr>
        <w:spacing w:before="240" w:line="480" w:lineRule="auto"/>
        <w:rPr>
          <w:rFonts w:ascii="Times New Roman" w:eastAsia="Times New Roman" w:hAnsi="Times New Roman" w:cs="Times New Roman"/>
          <w:b/>
          <w:bCs/>
          <w:sz w:val="24"/>
          <w:szCs w:val="24"/>
        </w:rPr>
      </w:pPr>
      <w:r w:rsidRPr="007C5E6F">
        <w:rPr>
          <w:rFonts w:ascii="Times New Roman" w:eastAsia="Times New Roman" w:hAnsi="Times New Roman" w:cs="Times New Roman"/>
          <w:b/>
          <w:bCs/>
          <w:sz w:val="24"/>
          <w:szCs w:val="24"/>
        </w:rPr>
        <w:t>Globalización</w:t>
      </w:r>
    </w:p>
    <w:p w14:paraId="00000061" w14:textId="2DC80430" w:rsidR="00DD6724" w:rsidRPr="007C5E6F" w:rsidRDefault="0008355F" w:rsidP="004C1A95">
      <w:pPr>
        <w:spacing w:before="240" w:line="480" w:lineRule="auto"/>
        <w:ind w:firstLine="720"/>
        <w:rPr>
          <w:rFonts w:ascii="Times New Roman" w:eastAsia="Times New Roman" w:hAnsi="Times New Roman" w:cs="Times New Roman"/>
          <w:b/>
          <w:bCs/>
          <w:sz w:val="24"/>
          <w:szCs w:val="24"/>
        </w:rPr>
      </w:pPr>
      <w:r w:rsidRPr="007C5E6F">
        <w:rPr>
          <w:rFonts w:ascii="Times New Roman" w:eastAsia="Times New Roman" w:hAnsi="Times New Roman" w:cs="Times New Roman"/>
          <w:sz w:val="24"/>
          <w:szCs w:val="24"/>
        </w:rPr>
        <w:t>La globalización es un proceso multidimensional y complejo que implica la creciente interconexión e interdependencia de las economías, sociedades y culturas a escala mundial. Este fenómeno se caracteriza por la intensificación de los flujos transnacionales de bienes, servicios, capitales, información, ideas y personas, facilitados por los avances tecnológicos en comunicaciones y transportes.</w:t>
      </w:r>
    </w:p>
    <w:p w14:paraId="00000062"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Giddens (1990) en su libro </w:t>
      </w:r>
      <w:r w:rsidRPr="007C5E6F">
        <w:rPr>
          <w:rFonts w:ascii="Times New Roman" w:eastAsia="Times New Roman" w:hAnsi="Times New Roman" w:cs="Times New Roman"/>
          <w:i/>
          <w:iCs/>
          <w:sz w:val="24"/>
          <w:szCs w:val="24"/>
        </w:rPr>
        <w:t>Las consecuencias de la modernidad</w:t>
      </w:r>
      <w:r w:rsidRPr="007C5E6F">
        <w:rPr>
          <w:rFonts w:ascii="Times New Roman" w:eastAsia="Times New Roman" w:hAnsi="Times New Roman" w:cs="Times New Roman"/>
          <w:sz w:val="24"/>
          <w:szCs w:val="24"/>
        </w:rPr>
        <w:t xml:space="preserve"> define la globalización como un proceso de intensificación de las relaciones sociales a escala global que vincula espacios geográficamente distantes. Sostiene, además, que este fenómeno no se limita al ámbito económico, sino que abarca también dimensiones políticas, culturales y tecnológicas.</w:t>
      </w:r>
    </w:p>
    <w:p w14:paraId="00000063"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Por otro lado, Held (1997) en </w:t>
      </w:r>
      <w:r w:rsidRPr="007C5E6F">
        <w:rPr>
          <w:rFonts w:ascii="Times New Roman" w:eastAsia="Times New Roman" w:hAnsi="Times New Roman" w:cs="Times New Roman"/>
          <w:i/>
          <w:iCs/>
          <w:sz w:val="24"/>
          <w:szCs w:val="24"/>
        </w:rPr>
        <w:t>La democracia y el orden global</w:t>
      </w:r>
      <w:r w:rsidRPr="007C5E6F">
        <w:rPr>
          <w:rFonts w:ascii="Times New Roman" w:eastAsia="Times New Roman" w:hAnsi="Times New Roman" w:cs="Times New Roman"/>
          <w:sz w:val="24"/>
          <w:szCs w:val="24"/>
        </w:rPr>
        <w:t xml:space="preserve"> analiza cómo el Estado moderno se transforma en el marco de la globalización, desplazándose desde un modelo centrado en la soberanía nacional hacia esquemas de gobierno con alcance cosmopolita. En su enfoque, el poder político ya no se concentra exclusivamente dentro de las fronteras estatales, sino que se redistribuye entre múltiples niveles local, nacional, regional y global, lo que obliga a repensar las formas tradicionales de autoridad y legitimidad.</w:t>
      </w:r>
    </w:p>
    <w:p w14:paraId="00000064"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Sostiene que la interdependencia creciente entre sociedades debilita la concepción clásica de soberanía absoluta. Problemas contemporáneos como el cambio climático, las crisis económicas transnacionales o los flujos migratorios superan la capacidad de respuesta de los Estados individuales, lo que hace necesario construir mecanismos de regulación y toma de decisiones a nivel supranacional. En este sentido, propone avanzar hacia una democracia cosmopolita que amplíe la participación política más allá del Estado-nación, incorporando instituciones globales más representativas, transparentes y responsables.</w:t>
      </w:r>
    </w:p>
    <w:p w14:paraId="00000065"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ámbito económico, la globalización se manifiesta a través de la expansión del comercio internacional, la integración de los mercados financieros, la internacionalización de la producción y el surgimiento de corporaciones multinacionales. Esto ha llevado a una reconfiguración de las cadenas de valor globales y a una creciente interdependencia económica entre naciones.</w:t>
      </w:r>
    </w:p>
    <w:p w14:paraId="00000066"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Políticamente, la globalización ha impactado en la naturaleza y el alcance de la soberanía estatal, dando lugar a nuevas formas de gobernanza global y regional. Se ha observado un aumento en la importancia de organismos internacionales y acuerdos multilaterales, así como la emergencia de actores no estatales con influencia transnacional.</w:t>
      </w:r>
    </w:p>
    <w:p w14:paraId="2A9CFD0E" w14:textId="68F83E92" w:rsidR="00166776" w:rsidRPr="007C5E6F" w:rsidRDefault="000C6692"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contexto latinoamericano la globalización, entendida como el proceso de integración económica, política y cultural a escala mundial, no puede analizarse de manera neutral ni ahistórica. Para comprenderla en toda su complejidad y especialmente en su relación con la soberanía estatal resulta indispensable recurrir a la Teoría Política de la Dependencia, corriente intelectual surgida en América Latina durante las décadas de 1950 y 1960</w:t>
      </w:r>
      <w:r w:rsidR="000D1C12">
        <w:rPr>
          <w:rFonts w:ascii="Times New Roman" w:eastAsia="Times New Roman" w:hAnsi="Times New Roman" w:cs="Times New Roman"/>
          <w:sz w:val="24"/>
          <w:szCs w:val="24"/>
        </w:rPr>
        <w:t>.</w:t>
      </w:r>
    </w:p>
    <w:p w14:paraId="2F5B0C78" w14:textId="77777777" w:rsidR="00C42D14" w:rsidRPr="007C5E6F" w:rsidRDefault="00166776" w:rsidP="00166776">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Uno de los principales antecedentes de esta corriente teórica se encuentra en los planteamientos del economista argentino Raúl Prebisch, quien, desde la Comisión Económica para América Latina y el Caribe, sostuvo que el deterioro progresivo de los términos de intercambio de las materias primas contribuía a profundizar la relación desigual entre centro y periferia. </w:t>
      </w:r>
    </w:p>
    <w:p w14:paraId="1539807D" w14:textId="126B0993" w:rsidR="00166776" w:rsidRPr="007C5E6F" w:rsidRDefault="00166776" w:rsidP="00166776">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Desde esta perspectiva, se cuestionaba la división internacional del trabajo, al considerar que favorecía la acumulación de riqueza en las naciones industrializadas del centro, mientras relegaba a los países periféricos a condiciones de dependencia económica. En consecuencia, esta propuesta teórica entendió la globalización no como un fenómeno equitativo y uniforme, sino como una estructura caracterizada por profundas asimetrías, en la que los Estados latinoamericanos permanecen en una posición subordinada que restringe tanto su margen de decisión autónoma como el ejercicio efectivo de su soberanía</w:t>
      </w:r>
      <w:r w:rsidR="000C6692" w:rsidRPr="007C5E6F">
        <w:rPr>
          <w:rFonts w:ascii="Times New Roman" w:eastAsia="Times New Roman" w:hAnsi="Times New Roman" w:cs="Times New Roman"/>
          <w:sz w:val="24"/>
          <w:szCs w:val="24"/>
        </w:rPr>
        <w:t>.</w:t>
      </w:r>
    </w:p>
    <w:p w14:paraId="38141E68" w14:textId="77777777" w:rsidR="001B25D0" w:rsidRPr="007C5E6F" w:rsidRDefault="001B25D0" w:rsidP="00166776">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Ruy Mauro Marini profundizó esta línea de análisis desde una perspectiva marxista, identificando en la superexplotación del trabajo el mecanismo específico que sostiene el capitalismo dependiente. En su obra fundacional argumentó que los países de la periferia no atraviesan simplemente una etapa atrasada del desarrollo capitalista, sino que ocupan una posición estructuralmente subordinada que es funcional a la acumulación del centro. </w:t>
      </w:r>
    </w:p>
    <w:p w14:paraId="5F450F2A" w14:textId="547F70B8" w:rsidR="00C42D14" w:rsidRPr="007C5E6F" w:rsidRDefault="001B25D0" w:rsidP="00166776">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Con el avance de la globalización, Marini observó que este patrón de explotación, lejos de desaparecer, tendía a generalizarse hacia los propios países centrales, revelando así las contradicciones internas del capitalismo globalizado. En palabras del autor: "la superexplotación del trabajo, que constituye el fundamento de la economía dependiente, es también la clave para comprender la expansión capitalista en el contexto de la globalización" (Marini, 1996, p. 65).</w:t>
      </w:r>
    </w:p>
    <w:p w14:paraId="3327B74B" w14:textId="131D0382" w:rsidR="001B25D0" w:rsidRPr="007C5E6F" w:rsidRDefault="001B25D0" w:rsidP="00166776">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Teotonio Dos Santos amplió esta perspectiva al vincular explícitamente la dependencia con el problema de la soberanía en el nuevo orden mundial. Para este autor, la globalización no elimina las relaciones de dependencia entre Estados, sino que las reconfigura bajo nuevas formas de dominación financiera, tecnológica e ideológica. Los Estados periféricos, aunque formalmente soberanos, enfrentan condicionamientos estructurales que limitan sus márgenes reales de decisión política y económica. Esta tensión entre soberanía formal y capacidad efectiva de autodeterminación es uno de los nudos centrales que la globalización ha vuelto más visible e irresuelto en el siglo XXI. Dos Santos lo expresó con claridad al afirmar que la nueva dimensión global de la vida exige repensar las categorías tradicionales con las que se ha entendido la relación entre los Estados y el sistema internacional (Dos Santos, 2002).</w:t>
      </w:r>
    </w:p>
    <w:p w14:paraId="40983FC7" w14:textId="77777777" w:rsidR="001B25D0" w:rsidRPr="007C5E6F" w:rsidRDefault="001B25D0" w:rsidP="00166776">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Desde una perspectiva más institucionalista, Fernando Henrique Cardoso y Enzo Faletto introdujeron matices importantes al señalar que la dependencia no determina de manera absoluta el destino de los países periféricos. Su concepto de </w:t>
      </w:r>
      <w:r w:rsidRPr="007C5E6F">
        <w:rPr>
          <w:rFonts w:ascii="Times New Roman" w:eastAsia="Times New Roman" w:hAnsi="Times New Roman" w:cs="Times New Roman"/>
          <w:i/>
          <w:iCs/>
          <w:sz w:val="24"/>
          <w:szCs w:val="24"/>
        </w:rPr>
        <w:t>desarrollo dependiente asociado</w:t>
      </w:r>
      <w:r w:rsidRPr="007C5E6F">
        <w:rPr>
          <w:rFonts w:ascii="Times New Roman" w:eastAsia="Times New Roman" w:hAnsi="Times New Roman" w:cs="Times New Roman"/>
          <w:sz w:val="24"/>
          <w:szCs w:val="24"/>
        </w:rPr>
        <w:t xml:space="preserve"> reconoce que, incluso en condiciones de subordinación estructural, los actores políticos internos conservan márgenes de acción que pueden traducirse en trayectorias de desarrollo diferenciadas.</w:t>
      </w:r>
    </w:p>
    <w:p w14:paraId="791DCD02" w14:textId="2BD38731" w:rsidR="001B25D0" w:rsidRPr="007C5E6F" w:rsidRDefault="001B25D0" w:rsidP="00166776">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Sin embargo, esta posibilidad no cancela la tensión de fondo: los Estados nacionales latinoamericanos aspiran a la soberanía plena mientras operan dentro de un sistema que estructuralmente la condiciona. Como plantearon los autores, el desafío central consiste en "esclarecer las condiciones y posibilidades del desarrollo en países que mantienen relaciones de dependencia con los polos hegemónicos del sistema capitalista, pero que al mismo tiempo aspiran a constituirse como naciones soberanas" (Cardoso y Faletto, 1969, p. 7).</w:t>
      </w:r>
    </w:p>
    <w:p w14:paraId="75D6EFDE" w14:textId="77777777" w:rsidR="00B6766A" w:rsidRPr="007C5E6F" w:rsidRDefault="00B6766A" w:rsidP="00166776">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Aplicado al orden internacional contemporáneo, el concepto gramsciano de hegemonía permite comprender cómo instituciones multilaterales, organismos financieros internacionales y agendas globales operan como mecanismos de producción y reproducción del consenso hegemónico. Los Estados que se apartan de este consenso negándose a adoptar determinadas políticas económicas, modelos de gobernanza o marcos normativos no solo enfrentan presiones diplomáticas o sanciones comerciales, sino que son catalogados como Estados fallidos, autoritarios o inviables, lo que legitima su exclusión o subordinación dentro del sistema internacional. </w:t>
      </w:r>
    </w:p>
    <w:p w14:paraId="7150D2FC" w14:textId="5012A1D3" w:rsidR="00B6766A" w:rsidRPr="007C5E6F" w:rsidRDefault="00B6766A" w:rsidP="00166776">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De este modo, la soberanía no se pierde únicamente por la fuerza, sino también por la hegemonía cultural: cuando un Estado asume como propios los criterios de legitimidad definidos por actores externos, su capacidad de autodeterminación queda condicionada desde adentro, no solo desde afuera. Gramsci denominó a este proceso la construcción de un </w:t>
      </w:r>
      <w:r w:rsidRPr="007C5E6F">
        <w:rPr>
          <w:rFonts w:ascii="Times New Roman" w:eastAsia="Times New Roman" w:hAnsi="Times New Roman" w:cs="Times New Roman"/>
          <w:i/>
          <w:iCs/>
          <w:sz w:val="24"/>
          <w:szCs w:val="24"/>
        </w:rPr>
        <w:t>bloque histórico</w:t>
      </w:r>
      <w:r w:rsidRPr="007C5E6F">
        <w:rPr>
          <w:rFonts w:ascii="Times New Roman" w:eastAsia="Times New Roman" w:hAnsi="Times New Roman" w:cs="Times New Roman"/>
          <w:sz w:val="24"/>
          <w:szCs w:val="24"/>
        </w:rPr>
        <w:t>, en el que las élites locales se convierten en transmisoras y garantes del orden hegemónico global (Gramsci, 1975).</w:t>
      </w:r>
    </w:p>
    <w:p w14:paraId="55EEA45D" w14:textId="78BD0392" w:rsidR="00B6766A" w:rsidRPr="007C5E6F" w:rsidRDefault="0008355F" w:rsidP="00B6766A">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plano social y cultural, la globalización ha facilitado la difusión de ideas, valores y prácticas culturales a través de las fronteras nacionales. Esto ha resultado en procesos simultáneos de homogeneización cultural y de reafirmación de identidades locales, generando tensiones entre lo global y lo local. La globalización también ha tenido profundas implicaciones en medio ambiente, salud pública y seguridad internacional, evidenciando la necesidad de abordar desafíos globales coordinada y colaborativamente.</w:t>
      </w:r>
    </w:p>
    <w:p w14:paraId="00000068" w14:textId="77777777" w:rsidR="00DD6724" w:rsidRPr="007C5E6F" w:rsidRDefault="0008355F" w:rsidP="004C1A95">
      <w:pPr>
        <w:spacing w:before="240" w:line="480" w:lineRule="auto"/>
        <w:rPr>
          <w:rFonts w:ascii="Times New Roman" w:eastAsia="Times New Roman" w:hAnsi="Times New Roman" w:cs="Times New Roman"/>
          <w:b/>
          <w:bCs/>
          <w:sz w:val="24"/>
          <w:szCs w:val="24"/>
        </w:rPr>
      </w:pPr>
      <w:r w:rsidRPr="007C5E6F">
        <w:rPr>
          <w:rFonts w:ascii="Times New Roman" w:eastAsia="Times New Roman" w:hAnsi="Times New Roman" w:cs="Times New Roman"/>
          <w:b/>
          <w:bCs/>
          <w:sz w:val="24"/>
          <w:szCs w:val="24"/>
        </w:rPr>
        <w:t>Estado nación</w:t>
      </w:r>
    </w:p>
    <w:p w14:paraId="00000069"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Estado-nación es un concepto político-territorial que surgió en la era moderna y se consolidó como la forma predominante de organización política a nivel mundial. Hace referencia a una entidad política soberana que ejerce autoridad sobre un territorio definido y una población que comparte, en gran medida, una identidad nacional común.</w:t>
      </w:r>
    </w:p>
    <w:p w14:paraId="0000006A"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Este concepto integra dos elementos fundamentales: El Estado, que constituye la estructura político-administrativa que ejerce el gobierno y mantiene el monopolio legítimo de la fuerza dentro de sus fronteras. La nación, que representa una comunidad humana con características culturales, históricas y sociales compartidas, unida por un sentido de identidad colectiva.</w:t>
      </w:r>
    </w:p>
    <w:p w14:paraId="0000006B" w14:textId="77777777" w:rsidR="00DD6724" w:rsidRPr="007C5E6F" w:rsidRDefault="0008355F" w:rsidP="004C1A95">
      <w:pPr>
        <w:spacing w:before="240" w:line="480" w:lineRule="auto"/>
        <w:rPr>
          <w:rFonts w:ascii="Times New Roman" w:eastAsia="Times New Roman" w:hAnsi="Times New Roman" w:cs="Times New Roman"/>
          <w:b/>
          <w:bCs/>
          <w:sz w:val="24"/>
          <w:szCs w:val="24"/>
        </w:rPr>
      </w:pPr>
      <w:r w:rsidRPr="007C5E6F">
        <w:rPr>
          <w:rFonts w:ascii="Times New Roman" w:eastAsia="Times New Roman" w:hAnsi="Times New Roman" w:cs="Times New Roman"/>
          <w:b/>
          <w:bCs/>
          <w:sz w:val="24"/>
          <w:szCs w:val="24"/>
        </w:rPr>
        <w:t>El Estado nación se caracteriza por varios atributos clave:</w:t>
      </w:r>
    </w:p>
    <w:p w14:paraId="0000006C"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Soberanía territorial: Ejerce control exclusivo sobre un territorio geográficamente delimitado.</w:t>
      </w:r>
    </w:p>
    <w:p w14:paraId="0000006D"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Gobierno centralizado: Posee instituciones políticas y administrativas que gobiernan el territorio y la población.</w:t>
      </w:r>
    </w:p>
    <w:p w14:paraId="0000006E"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Población permanente: Cuenta con una comunidad de ciudadanos que reside dentro de sus fronteras.</w:t>
      </w:r>
    </w:p>
    <w:p w14:paraId="0000006F"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Identidad nacional: Fomenta y mantiene un sentido de pertenencia colectiva entre sus ciudadanos, a menudo a través de símbolos nacionales, narrativas históricas y políticas culturales.</w:t>
      </w:r>
    </w:p>
    <w:p w14:paraId="00000070"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Reconocimiento internacional: Es reconocido como una entidad soberana por otros Estados y organizaciones internacionales.</w:t>
      </w:r>
    </w:p>
    <w:p w14:paraId="00000071"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Sistema legal unificado: Mantiene un conjunto de leyes que se aplican uniformemente en todo su territorio.</w:t>
      </w:r>
    </w:p>
    <w:p w14:paraId="00000072" w14:textId="77777777" w:rsidR="00DD6724" w:rsidRPr="007C5E6F" w:rsidRDefault="0008355F" w:rsidP="004C1A95">
      <w:pPr>
        <w:spacing w:before="240" w:line="480" w:lineRule="auto"/>
        <w:rPr>
          <w:rFonts w:ascii="Times New Roman" w:eastAsia="Times New Roman" w:hAnsi="Times New Roman" w:cs="Times New Roman"/>
          <w:b/>
          <w:bCs/>
          <w:sz w:val="24"/>
          <w:szCs w:val="24"/>
        </w:rPr>
      </w:pPr>
      <w:r w:rsidRPr="007C5E6F">
        <w:rPr>
          <w:rFonts w:ascii="Times New Roman" w:eastAsia="Times New Roman" w:hAnsi="Times New Roman" w:cs="Times New Roman"/>
          <w:b/>
          <w:bCs/>
          <w:sz w:val="24"/>
          <w:szCs w:val="24"/>
        </w:rPr>
        <w:t>Poder</w:t>
      </w:r>
    </w:p>
    <w:p w14:paraId="00000073"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poder se ha establecido como un concepto transversal, que hace referencia a la capacidad de un actor o entidad para influir en el comportamiento de otros y en el curso de los eventos políticos y sociales. Este concepto es fundamental para comprender las dinámicas de las relaciones políticas en todos los niveles, desde las interacciones interpersonales hasta las relaciones internacionales.</w:t>
      </w:r>
    </w:p>
    <w:p w14:paraId="00000074"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términos formales, el poder político puede definirse como la habilidad de un individuo, grupo o institución para ejercer control o influencia sobre las acciones, decisiones y recursos de otros actores políticos, así como sobre las estructuras y procesos del sistema político.</w:t>
      </w:r>
    </w:p>
    <w:p w14:paraId="00000075" w14:textId="225519DC" w:rsidR="00DD6724" w:rsidRPr="007C5E6F" w:rsidRDefault="0008355F" w:rsidP="004C1A95">
      <w:pPr>
        <w:pStyle w:val="Ttulo2"/>
        <w:spacing w:before="240" w:line="480" w:lineRule="auto"/>
        <w:rPr>
          <w:rFonts w:ascii="Times New Roman" w:eastAsia="Times New Roman" w:hAnsi="Times New Roman" w:cs="Times New Roman"/>
          <w:b/>
          <w:bCs/>
          <w:sz w:val="24"/>
          <w:szCs w:val="24"/>
        </w:rPr>
      </w:pPr>
      <w:bookmarkStart w:id="7" w:name="_qwvx2qq18dq4" w:colFirst="0" w:colLast="0"/>
      <w:bookmarkEnd w:id="7"/>
      <w:r w:rsidRPr="007C5E6F">
        <w:rPr>
          <w:rFonts w:ascii="Times New Roman" w:eastAsia="Times New Roman" w:hAnsi="Times New Roman" w:cs="Times New Roman"/>
          <w:b/>
          <w:bCs/>
          <w:sz w:val="24"/>
          <w:szCs w:val="24"/>
        </w:rPr>
        <w:t>4.</w:t>
      </w:r>
      <w:r w:rsidR="00823783">
        <w:rPr>
          <w:rFonts w:ascii="Times New Roman" w:eastAsia="Times New Roman" w:hAnsi="Times New Roman" w:cs="Times New Roman"/>
          <w:b/>
          <w:bCs/>
          <w:sz w:val="24"/>
          <w:szCs w:val="24"/>
        </w:rPr>
        <w:t>3</w:t>
      </w:r>
      <w:r w:rsidRPr="007C5E6F">
        <w:rPr>
          <w:rFonts w:ascii="Times New Roman" w:eastAsia="Times New Roman" w:hAnsi="Times New Roman" w:cs="Times New Roman"/>
          <w:b/>
          <w:bCs/>
          <w:sz w:val="24"/>
          <w:szCs w:val="24"/>
        </w:rPr>
        <w:t xml:space="preserve"> Marco histórico</w:t>
      </w:r>
    </w:p>
    <w:p w14:paraId="00000076"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La soberanía, del latín </w:t>
      </w:r>
      <w:r w:rsidRPr="00521E15">
        <w:rPr>
          <w:rFonts w:ascii="Times New Roman" w:eastAsia="Times New Roman" w:hAnsi="Times New Roman" w:cs="Times New Roman"/>
          <w:b/>
          <w:bCs/>
          <w:i/>
          <w:iCs/>
          <w:sz w:val="24"/>
          <w:szCs w:val="24"/>
        </w:rPr>
        <w:t>superanus</w:t>
      </w:r>
      <w:r w:rsidRPr="00521E15">
        <w:rPr>
          <w:rFonts w:ascii="Times New Roman" w:eastAsia="Times New Roman" w:hAnsi="Times New Roman" w:cs="Times New Roman"/>
          <w:b/>
          <w:bCs/>
          <w:sz w:val="24"/>
          <w:szCs w:val="24"/>
        </w:rPr>
        <w:t xml:space="preserve"> </w:t>
      </w:r>
      <w:r w:rsidRPr="007C5E6F">
        <w:rPr>
          <w:rFonts w:ascii="Times New Roman" w:eastAsia="Times New Roman" w:hAnsi="Times New Roman" w:cs="Times New Roman"/>
          <w:sz w:val="24"/>
          <w:szCs w:val="24"/>
        </w:rPr>
        <w:t>que significa «sobre todos», consiste en el supuesto de que en toda sociedad existe un poder absoluto, superior e incontrolado, que tiene la decisión final con respecto a la adopción y promulgación de las normas jurídicas que deben regir esa sociedad.</w:t>
      </w:r>
    </w:p>
    <w:p w14:paraId="00000077"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soberanía es una característica fundamental del Estado, una entidad política que agrupa a individuos autónomos para maximizar y garantizar su autonomía. Para lograr este fin, es necesario establecer un sistema de organización. Esta soberanía legitima la aplicación de una autoridad organizadora singular y suprema, si se cumplen dos condiciones esenciales: primero, que dicha autoridad se limite al territorio definido del Estado, y segundo, que se ejerza según los principios y para los propósitos establecidos por quienes están sujetos a ella.</w:t>
      </w:r>
    </w:p>
    <w:p w14:paraId="00000078" w14:textId="2514FE65"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En esencia, la soberanía representa la capacidad de un Estado para gobernarse a sí mismo, tomando decisiones y aplicando leyes dentro de sus fronteras, con el consentimiento y para el beneficio de su población. Esta autoridad soberana deriva su legitimidad del acuerdo colectivo de los ciudadanos, quienes aceptan su poder a cambio de la protección de sus libertades y la creación de un orden social que permita el florecimiento de </w:t>
      </w:r>
      <w:r w:rsidR="00521EAB" w:rsidRPr="007C5E6F">
        <w:rPr>
          <w:rFonts w:ascii="Times New Roman" w:eastAsia="Times New Roman" w:hAnsi="Times New Roman" w:cs="Times New Roman"/>
          <w:sz w:val="24"/>
          <w:szCs w:val="24"/>
        </w:rPr>
        <w:t>sus derechos</w:t>
      </w:r>
      <w:r w:rsidRPr="007C5E6F">
        <w:rPr>
          <w:rFonts w:ascii="Times New Roman" w:eastAsia="Times New Roman" w:hAnsi="Times New Roman" w:cs="Times New Roman"/>
          <w:sz w:val="24"/>
          <w:szCs w:val="24"/>
        </w:rPr>
        <w:t>.</w:t>
      </w:r>
    </w:p>
    <w:p w14:paraId="00000079"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Revolución francesa marcó un punto de inflexión en la concepción de la soberanía, transformando profundamente su significado. Este cambio dio lugar al surgimiento de la idea de soberanía popular, un concepto que encontró su fundamento principal en la teoría del contrato social propuesta por Rousseau en 1762.</w:t>
      </w:r>
    </w:p>
    <w:p w14:paraId="0000007A"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No obstante, esta noción experimentó una rápida evolución, dando paso al principio de soberanía nacional. Este concepto quedó plasmado en la Declaración francesa de los Derechos del Hombre y del Ciudadano de 1789. Específicamente, el artículo 3 de este histórico documento establece un principio fundamental: la Nación es la fuente primordial de toda soberanía.</w:t>
      </w:r>
    </w:p>
    <w:p w14:paraId="0000007B"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Esta declaración va más allá, afirmando que ninguna entidad colectiva ni individuo particular puede ejercer autoridad alguna salvo que esta emane directa y explícitamente de la Nación. De esta manera, se establece un nuevo paradigma en el que la legitimidad del poder político se deriva exclusivamente de la voluntad nacional, desplazando las concepciones anteriores de soberanía basadas en el derecho divino o la tradición monárquica.</w:t>
      </w:r>
    </w:p>
    <w:p w14:paraId="0000007C" w14:textId="2598BB6B" w:rsidR="00DD6724" w:rsidRPr="007C5E6F" w:rsidRDefault="00521EAB" w:rsidP="00521EAB">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Jean Bodin considerado el padre de la teoría moderna de la soberanía, sentó las bases en su obra "Los seis libros de la República" definió la soberanía como “el poder absoluto y perpetuo de una república, estableciendo que era indivisible, inalienable y no sujeta a las leyes”. Bodin (1576), Esta conceptualización marcó un punto de inflexión en el pensamiento político, dividiéndolo en un antes y un después de su obra.</w:t>
      </w:r>
    </w:p>
    <w:p w14:paraId="0000007D" w14:textId="4B9CB840"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En el siglo XVII, </w:t>
      </w:r>
      <w:r w:rsidR="00521EAB" w:rsidRPr="007C5E6F">
        <w:rPr>
          <w:rFonts w:ascii="Times New Roman" w:eastAsia="Times New Roman" w:hAnsi="Times New Roman" w:cs="Times New Roman"/>
          <w:sz w:val="24"/>
          <w:szCs w:val="24"/>
        </w:rPr>
        <w:t xml:space="preserve">Hobbes </w:t>
      </w:r>
      <w:r w:rsidRPr="007C5E6F">
        <w:rPr>
          <w:rFonts w:ascii="Times New Roman" w:eastAsia="Times New Roman" w:hAnsi="Times New Roman" w:cs="Times New Roman"/>
          <w:sz w:val="24"/>
          <w:szCs w:val="24"/>
        </w:rPr>
        <w:t xml:space="preserve">desarrolló estas ideas en su obra </w:t>
      </w:r>
      <w:r w:rsidRPr="00145096">
        <w:rPr>
          <w:rFonts w:ascii="Times New Roman" w:eastAsia="Times New Roman" w:hAnsi="Times New Roman" w:cs="Times New Roman"/>
          <w:b/>
          <w:bCs/>
          <w:i/>
          <w:iCs/>
          <w:sz w:val="24"/>
          <w:szCs w:val="24"/>
        </w:rPr>
        <w:t>Leviatán</w:t>
      </w:r>
      <w:r w:rsidRPr="007C5E6F">
        <w:rPr>
          <w:rFonts w:ascii="Times New Roman" w:eastAsia="Times New Roman" w:hAnsi="Times New Roman" w:cs="Times New Roman"/>
          <w:i/>
          <w:iCs/>
          <w:sz w:val="24"/>
          <w:szCs w:val="24"/>
        </w:rPr>
        <w:t>,</w:t>
      </w:r>
      <w:r w:rsidRPr="007C5E6F">
        <w:rPr>
          <w:rFonts w:ascii="Times New Roman" w:eastAsia="Times New Roman" w:hAnsi="Times New Roman" w:cs="Times New Roman"/>
          <w:sz w:val="24"/>
          <w:szCs w:val="24"/>
        </w:rPr>
        <w:t xml:space="preserve"> argumentando que la soberanía surgía del contrato social, proponiendo un soberano con poder absoluto para mantener el orden y la paz. </w:t>
      </w:r>
      <w:r w:rsidR="00521EAB" w:rsidRPr="007C5E6F">
        <w:rPr>
          <w:rFonts w:ascii="Times New Roman" w:eastAsia="Times New Roman" w:hAnsi="Times New Roman" w:cs="Times New Roman"/>
          <w:sz w:val="24"/>
          <w:szCs w:val="24"/>
        </w:rPr>
        <w:t xml:space="preserve">Hobbes (1651) </w:t>
      </w:r>
      <w:r w:rsidRPr="007C5E6F">
        <w:rPr>
          <w:rFonts w:ascii="Times New Roman" w:eastAsia="Times New Roman" w:hAnsi="Times New Roman" w:cs="Times New Roman"/>
          <w:sz w:val="24"/>
          <w:szCs w:val="24"/>
        </w:rPr>
        <w:t>Este enfoque reflejaba las preocupaciones de una época marcada por conflictos civiles y religiosos.</w:t>
      </w:r>
    </w:p>
    <w:p w14:paraId="0000007E"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El siglo XVIII trajo consigo nuevas perspectivas. Rousseau (1762) introdujo la idea de "soberanía popular" en </w:t>
      </w:r>
      <w:r w:rsidRPr="007C5E6F">
        <w:rPr>
          <w:rFonts w:ascii="Times New Roman" w:eastAsia="Times New Roman" w:hAnsi="Times New Roman" w:cs="Times New Roman"/>
          <w:i/>
          <w:iCs/>
          <w:sz w:val="24"/>
          <w:szCs w:val="24"/>
        </w:rPr>
        <w:t>El Contrato Social</w:t>
      </w:r>
      <w:r w:rsidRPr="007C5E6F">
        <w:rPr>
          <w:rFonts w:ascii="Times New Roman" w:eastAsia="Times New Roman" w:hAnsi="Times New Roman" w:cs="Times New Roman"/>
          <w:sz w:val="24"/>
          <w:szCs w:val="24"/>
        </w:rPr>
        <w:t>, argumentando que la soberanía residía en el pueblo y se expresaba a través de la voluntad general. Este concepto tuvo una profunda influencia en los movimientos revolucionarios de finales del siglo.</w:t>
      </w:r>
    </w:p>
    <w:p w14:paraId="0000007F"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Las Revoluciones Francesa y Americana marcaron un punto de inflexión, transitando de la soberanía monárquica a la soberanía nacional o popular. La Declaración de los Derechos del Hombre y del Ciudadano (1789) estableció formalmente que la soberanía residía en la nación, un principio que se extendería por Europa y América en las décadas siguientes.</w:t>
      </w:r>
    </w:p>
    <w:p w14:paraId="00000080"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siglo XIX vio la consolidación del Estado-nación, y con ello, la soberanía se asoció fuertemente con la integridad territorial y la independencia nacional. Este período también presenció el desarrollo del derecho internacional moderno, basado en la idea de Estados soberanos iguales.</w:t>
      </w:r>
    </w:p>
    <w:p w14:paraId="00000081"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siglo XX trajo consigo desafíos significativos a la concepción tradicional de soberanía. Las dos Guerras Mundiales cuestionaron la noción de soberanía absoluta de los Estados, llevando a la creación de la ONU y al desarrollo del concepto de seguridad colectiva. La descolonización provocó nuevos Estados soberanos, mientras que la Guerra Fría generó tensiones entre la soberanía y los bloques de poder global.</w:t>
      </w:r>
    </w:p>
    <w:p w14:paraId="00000082"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las últimas décadas del siglo XX y en el siglo XXI, la globalización económica, el surgimiento de organizaciones supranacionales como la Unión Europea, y desafíos transnacionales como el cambio climático y el terrorismo han continuado redefiniendo los límites de la soberanía estatal. Conceptos como la "responsabilidad de proteger" han cuestionado el principio de no intervención, mientras que la era digital ha planteado nuevas preguntas sobre la soberanía en el ciberespacio.</w:t>
      </w:r>
    </w:p>
    <w:p w14:paraId="0000009D" w14:textId="77777777" w:rsidR="00DD6724" w:rsidRPr="007C5E6F" w:rsidRDefault="0008355F" w:rsidP="004C1A95">
      <w:pPr>
        <w:pStyle w:val="Ttulo2"/>
        <w:spacing w:before="240" w:line="480" w:lineRule="auto"/>
        <w:rPr>
          <w:rFonts w:ascii="Times New Roman" w:eastAsia="Times New Roman" w:hAnsi="Times New Roman" w:cs="Times New Roman"/>
          <w:b/>
          <w:bCs/>
          <w:sz w:val="24"/>
          <w:szCs w:val="24"/>
        </w:rPr>
      </w:pPr>
      <w:bookmarkStart w:id="8" w:name="_lvbkstysik91" w:colFirst="0" w:colLast="0"/>
      <w:bookmarkStart w:id="9" w:name="_3y4h1ke7hpep" w:colFirst="0" w:colLast="0"/>
      <w:bookmarkEnd w:id="8"/>
      <w:bookmarkEnd w:id="9"/>
      <w:r w:rsidRPr="007C5E6F">
        <w:rPr>
          <w:rFonts w:ascii="Times New Roman" w:eastAsia="Times New Roman" w:hAnsi="Times New Roman" w:cs="Times New Roman"/>
          <w:b/>
          <w:bCs/>
          <w:sz w:val="24"/>
          <w:szCs w:val="24"/>
        </w:rPr>
        <w:t>4.4 Marco legal</w:t>
      </w:r>
    </w:p>
    <w:p w14:paraId="0000009E"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pro de la rigurosidad de este estudio presentaré las normas que tratan conceptos como: soberanía, autonomía nacional, poder y globalización en el marco jurídico colombiano y normas internacionales relevantes para este trabajo en cuestión. En el contexto colombiano, la transformación conceptual de estos paradigmas adquiere particular relevancia, situándose en la intersección entre la tradición jurídica latinoamericana y las dinámicas transnacionales contemporáneas.</w:t>
      </w:r>
    </w:p>
    <w:p w14:paraId="0000009F"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Desde la perspectiva histórica, Colombia ha experimentado una evolución significativa en su comprensión de la soberanía. Pasando de un modelo esencialmente territorial y hermético, propio de los Estados poscoloniales del siglo XIX, a un paradigma más complejo y poroso que reconoce la interdependencia global como una realidad ineludible. Esta transición no implica una pérdida de soberanía, sino una reconfiguración estratégica de su ejercicio.</w:t>
      </w:r>
    </w:p>
    <w:p w14:paraId="000000A0"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marco legal colombiano refleja esta transformación a través de múltiples instrumentos jurídicos que evidencian una apertura progresiva hacia el derecho internacional, los tratados multilaterales y los compromisos supranacionales. Elementos como la integración en bloques económicos regionales, la participación en organizaciones internacionales y la adopción de normativas globales en materias como derechos humanos, comercio y medio ambiente, demuestran una redefinición dinámica de la soberanía.</w:t>
      </w:r>
    </w:p>
    <w:p w14:paraId="000000A1"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Colombia, la soberanía es un principio fundamental consagrado en la Constitución Política de 1991. Los artículos que mejor abordan este tema son el artículo 3 que reza lo siguiente: “La soberanía reside exclusivamente en el pueblo, del cual emana el poder público. El pueblo la ejerce en forma directa o por medio de sus representantes, en los términos que la Constitución establece” (Constitución Política de Colombia, 1991, art. 3).</w:t>
      </w:r>
    </w:p>
    <w:p w14:paraId="000000A2"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Lo anterior, hace alusión a que el poder supremo dentro del Estado colombiano pertenece al pueblo, siendo un modelo democrático, aunque el pueblo tiene la soberanía, su ejercicio está regulado por los términos que establece la Constitución. Esto garantiza que el poder no sea arbitrario y se respeten principios como la justicia, el respeto a los derechos humanos y la separación de poderes.</w:t>
      </w:r>
    </w:p>
    <w:p w14:paraId="000000A3"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artículo 9 de la carta magna establece: "Las relaciones exteriores del Estado se fundamentan en la soberanía nacional, en el respeto a la autodeterminación de los pueblos y en el reconocimiento de los principios del derecho internacional aceptados por Colombia." (Constitución Política de Colombia, 1991, art. 9co). Este artículo fija los principios fundamentales que guían la política exterior y las relaciones internacionales del país.</w:t>
      </w:r>
    </w:p>
    <w:p w14:paraId="000000A4"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Colombia, como Estado independiente, tiene el derecho de tomar decisiones sin interferencia de otros países. El proceso evolutivo del principio de soberanía de las naciones en el concierto internacional debe entenderse ligado a la inalienable y permanente autonomía de los pueblos para darse su propio ordenamiento jurídico interno, para disponer y resolver sobre sus propios asuntos y, en general, para actuar libremente en todo aquello que no altere o lesione los legítimos derechos e intereses de otros Estados. (Corte Constitucional, Sentencia C-249/04)</w:t>
      </w:r>
    </w:p>
    <w:p w14:paraId="000000A5"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relaciones internacionales, este principio asegura que ningún país puede imponer su voluntad sobre Colombia, respetando su capacidad para gobernarse y decidir por sí misma. Otra implicación es que el país respeta las normas y principios generales del derecho internacional, como: la solución pacífica de conflictos; el respeto por los derechos humanos; la cooperación entre las naciones. Al aceptar estos principios, Colombia se compromete a actuar conforme a tratados internacionales y a su participación en organismos como la ONU o la OEA.</w:t>
      </w:r>
    </w:p>
    <w:p w14:paraId="000000A6" w14:textId="77777777" w:rsidR="00DD6724" w:rsidRPr="007C5E6F" w:rsidRDefault="0008355F" w:rsidP="004C1A95">
      <w:pPr>
        <w:pStyle w:val="Ttulo1"/>
        <w:spacing w:before="240" w:line="480" w:lineRule="auto"/>
        <w:rPr>
          <w:rFonts w:ascii="Times New Roman" w:eastAsia="Times New Roman" w:hAnsi="Times New Roman" w:cs="Times New Roman"/>
          <w:b/>
          <w:bCs/>
          <w:sz w:val="24"/>
          <w:szCs w:val="24"/>
        </w:rPr>
      </w:pPr>
      <w:bookmarkStart w:id="10" w:name="_7wo8dtqgujzc" w:colFirst="0" w:colLast="0"/>
      <w:bookmarkEnd w:id="10"/>
      <w:r w:rsidRPr="007C5E6F">
        <w:rPr>
          <w:rFonts w:ascii="Times New Roman" w:eastAsia="Times New Roman" w:hAnsi="Times New Roman" w:cs="Times New Roman"/>
          <w:b/>
          <w:bCs/>
          <w:sz w:val="24"/>
          <w:szCs w:val="24"/>
        </w:rPr>
        <w:t>5. Metodología</w:t>
      </w:r>
    </w:p>
    <w:p w14:paraId="000000A7" w14:textId="77777777" w:rsidR="00DD6724" w:rsidRPr="007C5E6F" w:rsidRDefault="0008355F" w:rsidP="004C1A95">
      <w:pPr>
        <w:pStyle w:val="Ttulo2"/>
        <w:spacing w:before="240" w:line="480" w:lineRule="auto"/>
        <w:rPr>
          <w:rFonts w:ascii="Times New Roman" w:eastAsia="Times New Roman" w:hAnsi="Times New Roman" w:cs="Times New Roman"/>
          <w:b/>
          <w:bCs/>
          <w:sz w:val="24"/>
          <w:szCs w:val="24"/>
        </w:rPr>
      </w:pPr>
      <w:bookmarkStart w:id="11" w:name="_v0j2p858bm8c" w:colFirst="0" w:colLast="0"/>
      <w:bookmarkEnd w:id="11"/>
      <w:r w:rsidRPr="007C5E6F">
        <w:rPr>
          <w:rFonts w:ascii="Times New Roman" w:eastAsia="Times New Roman" w:hAnsi="Times New Roman" w:cs="Times New Roman"/>
          <w:b/>
          <w:bCs/>
          <w:sz w:val="24"/>
          <w:szCs w:val="24"/>
        </w:rPr>
        <w:t>5.1 Enfoque</w:t>
      </w:r>
    </w:p>
    <w:p w14:paraId="000000A8"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investigación se realizó bajo la perspectiva metodológica cualitativa, el enfoque fue centrado en una aproximación a la realidad a través del estudio de situaciones en contextos específicos. Esta metodología permite una comprensión profunda de las dinámicas políticas, las motivaciones de los actores y los contextos institucionales. Es especialmente valiosa para explorar preguntas sobre el "cómo" y el "por qué" de los fenómenos políticos.</w:t>
      </w:r>
    </w:p>
    <w:p w14:paraId="000000A9"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Este enfoque metodológico permite una exploración profunda de cómo el concepto y la práctica de la soberanía están evolucionando en respuesta a las presiones de la globalización. Facilita la comprensión de las tensiones entre la soberanía tradicional y las nuevas realidades globales.</w:t>
      </w:r>
    </w:p>
    <w:p w14:paraId="000000AA" w14:textId="77777777" w:rsidR="00DD6724" w:rsidRPr="007C5E6F" w:rsidRDefault="0008355F" w:rsidP="004C1A95">
      <w:pPr>
        <w:pStyle w:val="Ttulo2"/>
        <w:spacing w:before="240" w:line="480" w:lineRule="auto"/>
        <w:rPr>
          <w:rFonts w:ascii="Times New Roman" w:eastAsia="Times New Roman" w:hAnsi="Times New Roman" w:cs="Times New Roman"/>
          <w:b/>
          <w:bCs/>
          <w:sz w:val="24"/>
          <w:szCs w:val="24"/>
        </w:rPr>
      </w:pPr>
      <w:bookmarkStart w:id="12" w:name="_yewodd6tw33" w:colFirst="0" w:colLast="0"/>
      <w:bookmarkEnd w:id="12"/>
      <w:r w:rsidRPr="007C5E6F">
        <w:rPr>
          <w:rFonts w:ascii="Times New Roman" w:eastAsia="Times New Roman" w:hAnsi="Times New Roman" w:cs="Times New Roman"/>
          <w:b/>
          <w:bCs/>
          <w:sz w:val="24"/>
          <w:szCs w:val="24"/>
        </w:rPr>
        <w:t>5.2 Método</w:t>
      </w:r>
    </w:p>
    <w:p w14:paraId="000000AB" w14:textId="5009F6A5"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Se utilizó el método hermenéutico, útil para el tema, </w:t>
      </w:r>
      <w:r w:rsidR="00DD1D9A">
        <w:rPr>
          <w:rFonts w:ascii="Times New Roman" w:eastAsia="Times New Roman" w:hAnsi="Times New Roman" w:cs="Times New Roman"/>
          <w:sz w:val="24"/>
          <w:szCs w:val="24"/>
        </w:rPr>
        <w:t>puesto</w:t>
      </w:r>
      <w:r w:rsidRPr="007C5E6F">
        <w:rPr>
          <w:rFonts w:ascii="Times New Roman" w:eastAsia="Times New Roman" w:hAnsi="Times New Roman" w:cs="Times New Roman"/>
          <w:sz w:val="24"/>
          <w:szCs w:val="24"/>
        </w:rPr>
        <w:t xml:space="preserve"> que permite una interpretación profunda de cómo se entiende y aplica el concepto de soberanía en diferentes contextos, enfocándolo en la interpretación de tratados clásicos sobre soberanía (ej. Bodin, Hobbes), utilizando la comparación y el contraste en conceptualizaciones de soberanía en el tiempo, buscando entender cómo la soberanía ha evolucionado y se redefinide en la globalización facilitando la exploración de las tensiones entre las concepciones tradicionales de soberanía y las realidades de un mundo cada vez más interconectado.</w:t>
      </w:r>
    </w:p>
    <w:p w14:paraId="000000AC"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Finalmente, se recurrió al método fenomenológico, que brindó la integración de la comprensión histórica con las preocupaciones contemporáneas, desarrollando una interpretación que conecte el pasado con el presente. El método fenomenológico, originado en la filosofía de Edmund Husserl, se centra en la experiencia subjetiva y en cómo los fenómenos los perciben y comprenden los individuos. Al aplicarse en una investigación en Ciencias políticas, específicamente en el estudio de los límites de la soberanía, el método fenomenológico permite explorar cómo los actores políticos (como los líderes, los ciudadanos, o las instituciones) experimentan y entienden la soberanía, más allá de las definiciones jurídicas o teóricas tradicionales.</w:t>
      </w:r>
    </w:p>
    <w:p w14:paraId="000000AD" w14:textId="77777777" w:rsidR="00DD6724" w:rsidRPr="007C5E6F" w:rsidRDefault="0008355F" w:rsidP="004C1A95">
      <w:pPr>
        <w:pStyle w:val="Ttulo2"/>
        <w:spacing w:before="240" w:line="480" w:lineRule="auto"/>
        <w:rPr>
          <w:rFonts w:ascii="Times New Roman" w:eastAsia="Times New Roman" w:hAnsi="Times New Roman" w:cs="Times New Roman"/>
          <w:b/>
          <w:bCs/>
          <w:sz w:val="24"/>
          <w:szCs w:val="24"/>
        </w:rPr>
      </w:pPr>
      <w:bookmarkStart w:id="13" w:name="_jc2lsp1l3izl" w:colFirst="0" w:colLast="0"/>
      <w:bookmarkEnd w:id="13"/>
      <w:r w:rsidRPr="007C5E6F">
        <w:rPr>
          <w:rFonts w:ascii="Times New Roman" w:eastAsia="Times New Roman" w:hAnsi="Times New Roman" w:cs="Times New Roman"/>
          <w:b/>
          <w:bCs/>
          <w:sz w:val="24"/>
          <w:szCs w:val="24"/>
        </w:rPr>
        <w:t>5.3 Tipo de investigación</w:t>
      </w:r>
    </w:p>
    <w:p w14:paraId="000000AE"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Esta investigación exploratoria-descriptiva con elementos analíticos que permitirá una comprensión rica y matizada del tema, capturando su complejidad y facilitando nuevas perspectivas sobre cómo la soberanía se está redefiniendo en el contexto de la globalización. Además, será lo suficientemente flexible para adaptarse a los hallazgos emergentes y lo suficientemente rigurosa para generar conceptos significativos para la teoría y práctica de la Ciencia Política.</w:t>
      </w:r>
    </w:p>
    <w:p w14:paraId="000000AF"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componente descriptivo posibilita una caracterización detallada de cómo se manifiesta la soberanía en diferentes contextos, permite documentar las diversas interpretaciones y aplicaciones del concepto y es útil para capturar la complejidad de las interacciones entre soberanía y globalización. Los elementos analíticos facilitan la interpretación de las relaciones entre diferentes aspectos de la soberanía, permitiendo examinar las causas y consecuencias de los cambios en la concepción de soberanía, resultandos necesarios para desarrollar marcos conceptuales que expliquen las tensiones observadas.</w:t>
      </w:r>
    </w:p>
    <w:p w14:paraId="000000B0" w14:textId="77777777" w:rsidR="00DD6724" w:rsidRPr="007C5E6F" w:rsidRDefault="0008355F" w:rsidP="004C1A95">
      <w:pPr>
        <w:pStyle w:val="Ttulo2"/>
        <w:spacing w:before="240" w:line="480" w:lineRule="auto"/>
        <w:rPr>
          <w:rFonts w:ascii="Times New Roman" w:eastAsia="Times New Roman" w:hAnsi="Times New Roman" w:cs="Times New Roman"/>
          <w:b/>
          <w:bCs/>
          <w:sz w:val="24"/>
          <w:szCs w:val="24"/>
        </w:rPr>
      </w:pPr>
      <w:bookmarkStart w:id="14" w:name="_ox4kfleylyn5" w:colFirst="0" w:colLast="0"/>
      <w:bookmarkEnd w:id="14"/>
      <w:r w:rsidRPr="007C5E6F">
        <w:rPr>
          <w:rFonts w:ascii="Times New Roman" w:eastAsia="Times New Roman" w:hAnsi="Times New Roman" w:cs="Times New Roman"/>
          <w:b/>
          <w:bCs/>
          <w:sz w:val="24"/>
          <w:szCs w:val="24"/>
        </w:rPr>
        <w:t>5.4 Técnicas e instrumentos</w:t>
      </w:r>
    </w:p>
    <w:p w14:paraId="000000B2" w14:textId="2875EF3A" w:rsidR="00DD6724" w:rsidRPr="007C5E6F" w:rsidRDefault="0008355F" w:rsidP="00A5361E">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Para esta investigación se utilizará un análisis documental histórico sobre la soberanía, permitiendo profundizar en el tema y ampliar la cosmovisión del mismo, además de análisis políticos sobre soberanía nacional que vislumbrará el panorama, acompañado de estudios de casos en donde la soberanía ha sido desafiada o redefinida, especialmente en conflictos internacionales relacionados, así como decisiones de la corte constitucional y tribunales internacionales en cuestiones de autodeterminación que hayan servido de precedente y contribuyan al entendimiento y alcance de los límites de la misma, tomando como elemento vertical la globalización.</w:t>
      </w:r>
    </w:p>
    <w:p w14:paraId="000000B3" w14:textId="77777777" w:rsidR="00DD6724" w:rsidRPr="007C5E6F" w:rsidRDefault="0008355F" w:rsidP="004C1A95">
      <w:pPr>
        <w:pStyle w:val="Ttulo1"/>
        <w:spacing w:before="240" w:line="480" w:lineRule="auto"/>
        <w:rPr>
          <w:rFonts w:ascii="Times New Roman" w:eastAsia="Times New Roman" w:hAnsi="Times New Roman" w:cs="Times New Roman"/>
          <w:b/>
          <w:bCs/>
          <w:sz w:val="24"/>
          <w:szCs w:val="24"/>
        </w:rPr>
      </w:pPr>
      <w:bookmarkStart w:id="15" w:name="_xddfiw2rj38t" w:colFirst="0" w:colLast="0"/>
      <w:bookmarkEnd w:id="15"/>
      <w:r w:rsidRPr="007C5E6F">
        <w:rPr>
          <w:rFonts w:ascii="Times New Roman" w:eastAsia="Times New Roman" w:hAnsi="Times New Roman" w:cs="Times New Roman"/>
          <w:b/>
          <w:bCs/>
          <w:sz w:val="24"/>
          <w:szCs w:val="24"/>
        </w:rPr>
        <w:t>6. Resultados</w:t>
      </w:r>
    </w:p>
    <w:p w14:paraId="000000B4" w14:textId="77777777" w:rsidR="00DD6724" w:rsidRPr="007C5E6F" w:rsidRDefault="0008355F" w:rsidP="004C1A95">
      <w:pPr>
        <w:pStyle w:val="Ttulo2"/>
        <w:spacing w:before="240" w:line="480" w:lineRule="auto"/>
        <w:rPr>
          <w:rFonts w:ascii="Times New Roman" w:eastAsia="Times New Roman" w:hAnsi="Times New Roman" w:cs="Times New Roman"/>
          <w:b/>
          <w:bCs/>
          <w:sz w:val="24"/>
          <w:szCs w:val="24"/>
        </w:rPr>
      </w:pPr>
      <w:bookmarkStart w:id="16" w:name="_l4rmr0tpg732" w:colFirst="0" w:colLast="0"/>
      <w:bookmarkEnd w:id="16"/>
      <w:r w:rsidRPr="007C5E6F">
        <w:rPr>
          <w:rFonts w:ascii="Times New Roman" w:eastAsia="Times New Roman" w:hAnsi="Times New Roman" w:cs="Times New Roman"/>
          <w:b/>
          <w:bCs/>
          <w:sz w:val="24"/>
          <w:szCs w:val="24"/>
        </w:rPr>
        <w:t>Evolución de los diversos conceptos de soberanía estatal a través de la historia</w:t>
      </w:r>
    </w:p>
    <w:p w14:paraId="000000B5" w14:textId="3721E16B"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Para la doctrina clásica, la soberanía ha sufrido una modificación sobre los retos y escenarios presentados por un mundo globalizado, la soberanía estatal consiste en que en toda sociedad existe un poder absoluto, superior e incontrolado, que decide sobre la adopción y promulgación de las normas jurídicas que debe regir esa sociedad. (</w:t>
      </w:r>
      <w:r w:rsidR="007A14F4" w:rsidRPr="007C5E6F">
        <w:rPr>
          <w:rFonts w:ascii="Times New Roman" w:eastAsia="Times New Roman" w:hAnsi="Times New Roman" w:cs="Times New Roman"/>
          <w:sz w:val="24"/>
          <w:szCs w:val="24"/>
        </w:rPr>
        <w:t>Arbuet-Vignali y Barrios</w:t>
      </w:r>
      <w:r w:rsidRPr="007C5E6F">
        <w:rPr>
          <w:rFonts w:ascii="Times New Roman" w:eastAsia="Times New Roman" w:hAnsi="Times New Roman" w:cs="Times New Roman"/>
          <w:sz w:val="24"/>
          <w:szCs w:val="24"/>
        </w:rPr>
        <w:t>, 2001)</w:t>
      </w:r>
    </w:p>
    <w:p w14:paraId="000000B6"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soberanía es una característica fundamental del Estado. Este, como organización política, agrupa a ciudadanos libres con el objetivo de garantizar y maximizar su libertad. Para lograrlo, el Estado debe establecer un orden. El poder que ejerce para mantener este orden se considera legítimo, único y supremo, siempre y cuando se limite al territorio nacional y se aplique de acuerdo con las condiciones y propósitos que demandan los gobernados.</w:t>
      </w:r>
    </w:p>
    <w:p w14:paraId="000000B7" w14:textId="2A161E00"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En la antigüedad </w:t>
      </w:r>
      <w:r w:rsidR="002A039C" w:rsidRPr="007C5E6F">
        <w:rPr>
          <w:rFonts w:ascii="Times New Roman" w:eastAsia="Times New Roman" w:hAnsi="Times New Roman" w:cs="Times New Roman"/>
          <w:sz w:val="24"/>
          <w:szCs w:val="24"/>
        </w:rPr>
        <w:t xml:space="preserve">occidental </w:t>
      </w:r>
      <w:r w:rsidRPr="007C5E6F">
        <w:rPr>
          <w:rFonts w:ascii="Times New Roman" w:eastAsia="Times New Roman" w:hAnsi="Times New Roman" w:cs="Times New Roman"/>
          <w:sz w:val="24"/>
          <w:szCs w:val="24"/>
        </w:rPr>
        <w:t>no existía el concepto de soberanía como la conocemos actualmente, pero si había ideas sobre el poder supremo; en la Edad Media</w:t>
      </w:r>
      <w:r w:rsidR="008C538D" w:rsidRPr="007C5E6F">
        <w:rPr>
          <w:rFonts w:ascii="Times New Roman" w:eastAsia="Times New Roman" w:hAnsi="Times New Roman" w:cs="Times New Roman"/>
          <w:sz w:val="24"/>
          <w:szCs w:val="24"/>
        </w:rPr>
        <w:t xml:space="preserve"> europea</w:t>
      </w:r>
      <w:r w:rsidRPr="007C5E6F">
        <w:rPr>
          <w:rFonts w:ascii="Times New Roman" w:eastAsia="Times New Roman" w:hAnsi="Times New Roman" w:cs="Times New Roman"/>
          <w:sz w:val="24"/>
          <w:szCs w:val="24"/>
        </w:rPr>
        <w:t xml:space="preserve">, el poder estaba fragmentado entre la iglesia, los señores feudales y los monarcas. En la Grecia antigua tenemos a Aristóteles </w:t>
      </w:r>
      <w:r w:rsidR="008C538D" w:rsidRPr="007C5E6F">
        <w:rPr>
          <w:rFonts w:ascii="Times New Roman" w:eastAsia="Times New Roman" w:hAnsi="Times New Roman" w:cs="Times New Roman"/>
          <w:sz w:val="24"/>
          <w:szCs w:val="24"/>
        </w:rPr>
        <w:t xml:space="preserve">que </w:t>
      </w:r>
      <w:r w:rsidRPr="007C5E6F">
        <w:rPr>
          <w:rFonts w:ascii="Times New Roman" w:eastAsia="Times New Roman" w:hAnsi="Times New Roman" w:cs="Times New Roman"/>
          <w:sz w:val="24"/>
          <w:szCs w:val="24"/>
        </w:rPr>
        <w:t>nos habla de las diferentes formas de gobernar y las dividía en puras en impuras, fijando la residencia de la soberanía en la Ley.</w:t>
      </w:r>
    </w:p>
    <w:p w14:paraId="000000B8"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marco del pensamiento político de Nicolás Maquiavelo, la soberanía emerge como un concepto fundamental, aunque no siempre explícitamente articulado en términos contemporáneos. A través de sus obras, "El Príncipe" y los "Discursos sobre la primera década de Tito Livio", Maquiavelo desarrolla una visión de la soberanía que se centra en la consolidación y mantenimiento del poder estatal. Para Maquiavelo (2010), la soberanía se manifiesta primordialmente en la capacidad del gobernante o del Estado para ejercer un control efectivo sobre su territorio y población, resistir influencias externas y tomar decisiones autónomas en pro del interés nacional.</w:t>
      </w:r>
    </w:p>
    <w:p w14:paraId="000000B9"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Esta concepción se articula mediante la defensa de un poder centralizado y robusto, capaz de imponer su voluntad tanto interna como externamente. Maquiavelo argumenta que la legitimidad de este poder soberano puede derivar de diversas fuentes, incluyendo la herencia, la conquista o el consenso popular, pero subraya que su conservación depende invariablemente de la habilidad política del gobernante y su disposición a emplear la fuerza cuando sea necesario. Además, introduce el concepto de "razón de Estado", sugiriendo que las acciones del soberano pueden trascender los límites de la moralidad convencional si el bienestar del Estado así lo requiere.</w:t>
      </w:r>
    </w:p>
    <w:p w14:paraId="000000BA"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 menester aclarar que las ideas de Maquiavelo no utilizan explícitamente el término "soberanía" en su obra, ya que este concepto, tal como lo entendemos hoy, no estaba completamente desarrollado en su época, sin embargo, en el capítulo III del “El príncipe” Maquiavelo discute cómo un gobernante puede mantener el control sobre territorios recién adquiridos, lo cual se relaciona con el concepto moderno de soberanía. Maquiavelo aconseja sobre cómo consolidar el poder en nuevos territorios, enfatizando la importancia de mantener la estabilidad y el control efectivo, elementos clave de la soberanía.</w:t>
      </w:r>
    </w:p>
    <w:p w14:paraId="000000BB" w14:textId="59389A6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jurista y filósofo francés Jean Bodin del siglo XVI desarrolló en su obra “Los seis libros de la República" (en francés: "Les Six livres de la République"</w:t>
      </w:r>
      <w:r w:rsidR="00E2545A" w:rsidRPr="007C5E6F">
        <w:rPr>
          <w:rFonts w:ascii="Times New Roman" w:eastAsia="Times New Roman" w:hAnsi="Times New Roman" w:cs="Times New Roman"/>
          <w:sz w:val="24"/>
          <w:szCs w:val="24"/>
        </w:rPr>
        <w:t>), fue</w:t>
      </w:r>
      <w:r w:rsidRPr="007C5E6F">
        <w:rPr>
          <w:rFonts w:ascii="Times New Roman" w:eastAsia="Times New Roman" w:hAnsi="Times New Roman" w:cs="Times New Roman"/>
          <w:sz w:val="24"/>
          <w:szCs w:val="24"/>
        </w:rPr>
        <w:t xml:space="preserve"> el primero en describir a la soberanía y le atribuyó tres características esenciales: absoluta, perpetua e indivisible, argumentando que la soberanía era esencial para la existencia y funcionamiento del Estado, y que residía en un solo lugar dentro de la estructura política, en su época, típicamente en el monarca.</w:t>
      </w:r>
    </w:p>
    <w:p w14:paraId="000000BC" w14:textId="77777777" w:rsidR="00DD6724" w:rsidRPr="007C5E6F" w:rsidRDefault="0008355F" w:rsidP="00584209">
      <w:pPr>
        <w:spacing w:before="240" w:line="480" w:lineRule="auto"/>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soberanía es, por tanto,</w:t>
      </w:r>
    </w:p>
    <w:p w14:paraId="000000BD" w14:textId="56000E40" w:rsidR="00DD6724" w:rsidRPr="007C5E6F" w:rsidRDefault="0008355F" w:rsidP="00C23C09">
      <w:pPr>
        <w:spacing w:before="240" w:line="480" w:lineRule="auto"/>
        <w:ind w:left="680"/>
        <w:jc w:val="both"/>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una idea fuerza legitimante de una determinada forma de ejercer el poder político dentro del marco de una frontera (territorio del Estado); que aparece en cierto momento histórico siéndole únicamente atribuida a un determinado tipo de organización política, el Estado; que, por su propia naturaleza, está sometida al derecho; cuyo titular es el Estado; que se manifiesta a través de su radicante, en los regímenes democráticos la población; y que otorga el legítimo ejercicio del poder ordenador a unas autoridades que deben ejercerlo en cierto forma y son controladas, directamente en las democracias por su sustitución periódica e indirectamente en otras situaciones a través del derecho de resistencia a la opresión (Arbuet-Vignali y Barrios, 2001, p. 36).</w:t>
      </w:r>
    </w:p>
    <w:p w14:paraId="000000BE"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siglo XVII Thomas Hobbes en el “</w:t>
      </w:r>
      <w:r w:rsidRPr="007C5E6F">
        <w:rPr>
          <w:rFonts w:ascii="Times New Roman" w:eastAsia="Times New Roman" w:hAnsi="Times New Roman" w:cs="Times New Roman"/>
          <w:i/>
          <w:iCs/>
          <w:sz w:val="24"/>
          <w:szCs w:val="24"/>
        </w:rPr>
        <w:t>Leviatán</w:t>
      </w:r>
      <w:r w:rsidRPr="007C5E6F">
        <w:rPr>
          <w:rFonts w:ascii="Times New Roman" w:eastAsia="Times New Roman" w:hAnsi="Times New Roman" w:cs="Times New Roman"/>
          <w:sz w:val="24"/>
          <w:szCs w:val="24"/>
        </w:rPr>
        <w:t>” (1651), argumentó que la soberanía era necesaria para mantener el orden social, proponiendo que los individuos ceden su libertan a un soberano a cambio de protección, esto en un intento de escapar del “Estado de naturaleza” concepto previo a la sociedad civil, en este Estado, la vida es “solitaria, pobre, desagradable, brutal y corta”. Todos tienen derecho a todo, lo que lleva a un conflicto constante.</w:t>
      </w:r>
    </w:p>
    <w:p w14:paraId="000000BF"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Para escapar del Estado de naturaleza, los individuos acuerdan ceder sus derechos naturales a un soberano, este es el “contrato social”, el soberano (sea un monarca o una asamblea) es el “Leviatán”, un poder absoluto, que representa la unión de las voluntades individuales en una sola voluntad; para Hobbes la soberanía tenía tres características: absoluta, indivisible e irrevocable.</w:t>
      </w:r>
    </w:p>
    <w:p w14:paraId="000000C0"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Justificando la soberanía absoluta en la necesidad de mantener la paz y el orden, según Hobbes sin ella, la sociedad volvería al caótico Estado de naturaleza, en retribución, el soberano tiene el deber de proteger a los súbditos y mantener la paz y los súbditos deben obediencia absoluta, excepto si su vida está en peligro directo.</w:t>
      </w:r>
    </w:p>
    <w:p w14:paraId="000000C1"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Hobbes argumenta que los súbditos pueden desobedecer si el soberano amenaza directamente su vida, siendo el único límite que se le reconoce al poder soberano, con relación a la ley, el soberano es la fuente de la ley y está por encima de ella y no está sujeto a las leyes civiles que él mismo crea.</w:t>
      </w:r>
    </w:p>
    <w:p w14:paraId="000000C2"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teoría de Hobbes justifica el absolutismo y postula a la figura del monarca como un ser superior no sujeto a las normas y leyes imperantes bajo su soberanía, pero tiene un límite invocable que sirve de base para desarrollar las teorías modernas del Estado y la soberanía.</w:t>
      </w:r>
    </w:p>
    <w:p w14:paraId="000000C3"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siglo XVII Rousseau (1762) en “</w:t>
      </w:r>
      <w:r w:rsidRPr="007C5E6F">
        <w:rPr>
          <w:rFonts w:ascii="Times New Roman" w:eastAsia="Times New Roman" w:hAnsi="Times New Roman" w:cs="Times New Roman"/>
          <w:i/>
          <w:iCs/>
          <w:sz w:val="24"/>
          <w:szCs w:val="24"/>
        </w:rPr>
        <w:t>El contrato social</w:t>
      </w:r>
      <w:r w:rsidRPr="007C5E6F">
        <w:rPr>
          <w:rFonts w:ascii="Times New Roman" w:eastAsia="Times New Roman" w:hAnsi="Times New Roman" w:cs="Times New Roman"/>
          <w:sz w:val="24"/>
          <w:szCs w:val="24"/>
        </w:rPr>
        <w:t>” propuso la idea de la soberanía popular, argumentando que la soberanía reside en el pueblo, no en el monarca, representando un giro significativo en la teoría política, Rousseau argumentó que la soberanía es la expresión de la “voluntad general” de la comunidad, concepto clave en su teoría, representando el interés común de la sociedad, distinto de la mera suma de voluntades individuales, siendo la base de la legitimidad del poder político.</w:t>
      </w:r>
    </w:p>
    <w:p w14:paraId="000000C4"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soberanía rousseauniana ostentaba las características de inalienables, no pudiendo ser representada o delegada; indivisible, no puede ser fragmentada o compartida; infalible, siempre tiende al bien común; absoluta, dentro de los límites del contrato social. Siendo este ultimo la unión voluntaria de los individuos para formar una sociedad, entregando sus derechos a la comunidad como un todo. A cambio, reciben la protección de la fuerza común y participación en la soberanía.</w:t>
      </w:r>
    </w:p>
    <w:p w14:paraId="000000C5"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gobierno pasa a ser un agente, no un soberano, su poder es delegado y puede ser revocado por el pueblo soberano, también favorece la democracia directa sobre la representativa, argumentando que la soberanía no puede ser representada sin ser alienada. Respecto a los límites del poder soberano, aunque absoluto, está limitado por el bien común y tampoco puede imponer cargas inútiles a la comunidad.</w:t>
      </w:r>
    </w:p>
    <w:p w14:paraId="000000C6"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Respecto a la libertad y la obediencia, obedecer a la ley que uno mismo ha prescrito es libertad, la participación en la soberanía asegura la libertad individual. También hace una crítica al sistema feudal y al absolutismo, a diferencia de Hobbes, Rousseau rechaza la idea de que la soberanía puede residir en un individuo o una élite, critica a los sistemas políticos basados en la desigualdad y el privilegio.</w:t>
      </w:r>
    </w:p>
    <w:p w14:paraId="000000C7"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pensamiento de Rousseau sobre la soberanía marca un punto de inflexión en la teoría política, desplazando la fuente de legitimidad política del monarca al pueblo. Su énfasis en la participación directa y la voluntad general sigue siendo influyente y debatido en la teoría política contemporánea.</w:t>
      </w:r>
    </w:p>
    <w:p w14:paraId="000000C8"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siglo XIX, la idea de soberanía se consolidó firmemente en torno al concepto del Estado-nación. Este período vio el surgimiento y fortalecimiento de Estados nacionales en Europa y América, cada uno reclamando autoridad suprema dentro de sus fronteras. La soberanía se convirtió en un principio fundamental del derecho internacional, respaldando la idea de no intervención en los asuntos internos de otros Estados. El Congreso de Viena de 1815 reforzó esta noción al establecer un sistema de equilibrio de poder entre las naciones europeas.</w:t>
      </w:r>
    </w:p>
    <w:p w14:paraId="000000C9"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A medida que avanzaba el siglo XIX, el concepto de soberanía se enfrentó a nuevos desafíos. El imperialismo y el colonialismo pusieron en tela de juicio la aplicación universal de la soberanía, ya que las potencias europeas ejercían control sobre vastos territorios en África, Asia y otras partes del mundo. Esto creó una dicotomía entre la soberanía de las naciones "civilizadas" y el estatus subordinado de las colonias y territorios conquistados.</w:t>
      </w:r>
    </w:p>
    <w:p w14:paraId="000000CB" w14:textId="2B1AFB13" w:rsidR="00DD6724" w:rsidRPr="007C5E6F" w:rsidRDefault="0008355F" w:rsidP="006E3A73">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siglo XX trajo consigo cambios aún más dramáticos en la concepción y aplicación de la soberanía. Las dos guerras mundiales y la creación de organizaciones internacionales como la Sociedad de Naciones y posteriormente las Naciones Unidas, introdujeron nuevas dimensiones al</w:t>
      </w:r>
      <w:r w:rsidR="006E3A73" w:rsidRPr="007C5E6F">
        <w:rPr>
          <w:rFonts w:ascii="Times New Roman" w:eastAsia="Times New Roman" w:hAnsi="Times New Roman" w:cs="Times New Roman"/>
          <w:sz w:val="24"/>
          <w:szCs w:val="24"/>
        </w:rPr>
        <w:t xml:space="preserve"> </w:t>
      </w:r>
      <w:r w:rsidRPr="007C5E6F">
        <w:rPr>
          <w:rFonts w:ascii="Times New Roman" w:eastAsia="Times New Roman" w:hAnsi="Times New Roman" w:cs="Times New Roman"/>
          <w:sz w:val="24"/>
          <w:szCs w:val="24"/>
        </w:rPr>
        <w:t>concepto. La Carta de las Naciones Unidas de 1945 consagró el principio de la igualdad soberana de todos los Estados miembros, al tiempo que establecía mecanismos para la cooperación internacional y la resolución pacífica de conflictos.</w:t>
      </w:r>
    </w:p>
    <w:p w14:paraId="000000CC"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segunda mitad del siglo XX vio surgir tensiones significativas en torno al concepto de soberanía. Por un lado, el proceso de descolonización llevó a la creación de numerosos nuevos Estados independientes, cada uno reclamando su derecho a la soberanía. Por otro lado, la creciente importancia de los derechos humanos a nivel internacional comenzó a desafiar la noción tradicional de soberanía absoluta, argumentando que los Estados tienen responsabilidades hacia sus ciudadanos y hacia la comunidad internacional.</w:t>
      </w:r>
    </w:p>
    <w:p w14:paraId="000000CD"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final del siglo XX y el inicio del XXI han sido testigos de una mayor complejidad en la aplicación de la soberanía. La globalización, el auge de las organizaciones supranacionales como la Unión Europea, y los desafíos globales como el cambio climático y el terrorismo internacional, han llevado a repensar el concepto. Surgieron ideas como la "soberanía compartida" o la "responsabilidad de proteger", que sugieren que la soberanía no es absoluta y que la comunidad internacional puede intervenir en ciertas circunstancias para proteger a las poblaciones en riesgo.</w:t>
      </w:r>
    </w:p>
    <w:p w14:paraId="000000CE"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soberanía nacional de Colombia emergió como resultado de un movimiento unificado de emancipación contra el dominio español. Este proceso fue impulsado por diversas clases sociales que habitaban el Virreinato de la Nueva Granada, cuyas circunstancias los llevaron a un conflicto directo con la autoridad monárquica. La lucha por la independencia unió a criollos, afrodescendientes, indígenas y raizales, en su mayoría esclavos y con pocos individuos instruidos, pero todos sometidos a la corona española. Esta coalición diversa forjó una poderosa alianza contra el colonialismo, se independizó y estableció la República de Colombia mediante Constituciones Políticas. Este proceso no solo marcó el fin del dominio colonial, sino que también sentó las bases para la formación de una nueva identidad nacional y un Estado soberano.</w:t>
      </w:r>
    </w:p>
    <w:p w14:paraId="000000CF"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Teniendo en cuenta lo anterior, presentaré una línea temporal de los momentos que ha tenido el concepto de soberanía en Colombia, desde sus inicios como colonia hasta su actual Estado de República. En el Período Colonial (hasta 1810): Durante este tiempo, la soberanía residía exclusivamente en la Corona española. El territorio que hoy conocemos como Colombia era parte del Virreinato de la Nueva Granada, y todas las decisiones importantes se tomaban en nombre del rey español. La idea de una soberanía local o independiente era prácticamente inexistente.</w:t>
      </w:r>
    </w:p>
    <w:p w14:paraId="000000D0"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período de la Independencia (1810-1819) se marcó un cambio crucial en la concepción de la soberanía. El grito de independencia de 1810 introdujo la noción de que la soberanía podía residir en el pueblo. Las Juntas de Gobierno que se formaron en varias ciudades comenzaron a reclamar la soberanía en nombre del pueblo, aunque inicialmente aún reconocían la autoridad del rey Fernando VII.</w:t>
      </w:r>
    </w:p>
    <w:p w14:paraId="000000D1"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Con la independencia definitiva y el periodo de conformación de La Gran Colombia (1819-1830), se estableció la idea de una soberanía nacional. La Constitución de Cúcuta de 1821 declaró que la soberanía residía esencialmente en la nación. En este intervalo de tiempo se vio la formación de un Estado que incluía los territorios de las actuales Colombia, Venezuela, Ecuador y Panamá.</w:t>
      </w:r>
    </w:p>
    <w:p w14:paraId="000000D3" w14:textId="1812C86C" w:rsidR="00DD6724" w:rsidRPr="007C5E6F" w:rsidRDefault="0008355F" w:rsidP="00BF0350">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República de la Nueva Granada (1830-1858) que nació tras la disolución de la Gran Colombia, el concepto de soberanía se centró más en el territorio específico de la Nueva Granada (actual Colombia). La Constitución de 1832 reafirmó que la soberanía residía en la nación. El período Federal (1858-1886) fue un momento en donde Colombia experimentó con un modelo</w:t>
      </w:r>
      <w:r w:rsidR="00BF0350" w:rsidRPr="007C5E6F">
        <w:rPr>
          <w:rFonts w:ascii="Times New Roman" w:eastAsia="Times New Roman" w:hAnsi="Times New Roman" w:cs="Times New Roman"/>
          <w:sz w:val="24"/>
          <w:szCs w:val="24"/>
        </w:rPr>
        <w:t xml:space="preserve"> </w:t>
      </w:r>
      <w:r w:rsidRPr="007C5E6F">
        <w:rPr>
          <w:rFonts w:ascii="Times New Roman" w:eastAsia="Times New Roman" w:hAnsi="Times New Roman" w:cs="Times New Roman"/>
          <w:sz w:val="24"/>
          <w:szCs w:val="24"/>
        </w:rPr>
        <w:t>federal. La soberanía se dividió entre el gobierno central y los Estados federales, cada uno con cierto grado de autonomía. Este período vio tensiones entre la soberanía nacional y la soberanía de los Estados.</w:t>
      </w:r>
    </w:p>
    <w:p w14:paraId="000000D4"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Hoy estamos con la regeneración y el concepto de República de Colombia, la Constitución de 1886 marcó un retorno al centralismo. Estableció que la soberanía residía esencial y exclusivamente en la nación, de la cual emanaban los poderes públicos. Este concepto de soberanía nacional centralizada persistió durante gran parte del siglo XX.</w:t>
      </w:r>
    </w:p>
    <w:p w14:paraId="000000D5" w14:textId="293DD78D"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El himno de Colombia adoptado el </w:t>
      </w:r>
      <w:r w:rsidR="00620F04">
        <w:rPr>
          <w:rFonts w:ascii="Times New Roman" w:eastAsia="Times New Roman" w:hAnsi="Times New Roman" w:cs="Times New Roman"/>
          <w:sz w:val="24"/>
          <w:szCs w:val="24"/>
        </w:rPr>
        <w:t>2</w:t>
      </w:r>
      <w:r w:rsidRPr="007C5E6F">
        <w:rPr>
          <w:rFonts w:ascii="Times New Roman" w:eastAsia="Times New Roman" w:hAnsi="Times New Roman" w:cs="Times New Roman"/>
          <w:sz w:val="24"/>
          <w:szCs w:val="24"/>
        </w:rPr>
        <w:t>8 de octubre del 1920 en su segunda estrofa reza “Pero este gran principio: «El rey no es soberano»”, el cual expresa los aires independentistas, simbolizando la ruptura con el dominio del rey de España y el rechazo de la soberanía del monarca sobre el territorio colombiano. las nuevas repúblicas americanas rechazaron el concepto de soberanía monárquica y abrazaron la idea de la soberanía popular, donde el poder reside en el pueblo y no en un monarca. Así, la frase subraya el cambio fundamental en la estructura política y la afirmación de la autonomía y la libertad de Colombia como una nación independiente.</w:t>
      </w:r>
    </w:p>
    <w:p w14:paraId="000000D6"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Autores colombianos como el Abogado y Publicista Cerbeleón Pinzón, en su obra "Tratado de ciencia constitucional", ofrece una conceptualización distintiva de la soberanía. Según su perspectiva, la soberanía emerge como una manifestación del intelecto y la fuerza individual, lo que fundamenta su presencia inherente en cada miembro de la sociedad.</w:t>
      </w:r>
    </w:p>
    <w:p w14:paraId="000000D7" w14:textId="46AFB677" w:rsidR="00DD6724" w:rsidRPr="007C5E6F" w:rsidRDefault="0008355F" w:rsidP="00584209">
      <w:pPr>
        <w:spacing w:before="240" w:line="480" w:lineRule="auto"/>
        <w:ind w:left="68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soberanía es un poder que nace de la inteligencia y de la fuerza individual; por esta razón, reside en todos los individuos de la asociación. Cuando hay discordias entre los individuos, esta soberanía reposa siempre sobre la mayoría de ellos, pues se supone que son ellos mayor número de fuerzas e inteligencias reunidas. El ejercicio del poder corresponde, por tanto, a las mayorías. Esta soberanía no puede enajenarse, perderse ni transmitirse, por ser un poder identificado con la sociedad misma. Además, no prescribe y no puede dividirse. No obstante, este poder es limitado moral y físicamente, pues limitado es el poder del individuo, del que ha nacido el poder de soberanía. Pinzón (1839).</w:t>
      </w:r>
    </w:p>
    <w:p w14:paraId="000000D8"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Pinzón argumentaba que, en situaciones de desacuerdo colectivo, la soberanía recae naturalmente sobre la mayoría, bajo la premisa de que esta representa una concentración superior de capacidades intelectuales y fuerzas individuales. Consecuentemente, sostiene que el ejercicio efectivo del poder debe ser prerrogativa de las mayorías.</w:t>
      </w:r>
    </w:p>
    <w:p w14:paraId="000000D9"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su análisis, Pinzón atribuye a la soberanía características de inalienabilidad, imprescriptibilidad e indivisibilidad. La concibe como un poder intrínsecamente ligado a la esencia misma de la sociedad, lo que impide su transferencia, pérdida o fragmentación. No obstante, Pinzón reconoce que este poder soberano no es absoluto. Establece que está sujeto a limitaciones tanto morales como físicas, reflejando así las restricciones inherentes al poder individual del cual se deriva la soberanía colectiva.</w:t>
      </w:r>
    </w:p>
    <w:p w14:paraId="000000DA"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Esta conceptualización de Pinzón ofrece una perspectiva que vincula estrechamente la soberanía con la voluntad colectiva y las capacidades individuales, a la vez que reconoce sus limitaciones intrínsecas. Actualmente Colombia se rige bajo la Constitución de 1991, que introdujo cambios significativos en la soberanía. Aunque mantiene la idea de soberanía nacional, también reconoce la soberanía popular, declarando que "la soberanía reside exclusivamente en el pueblo, del cual emana el poder público". Además, introduce conceptos como la autonomía de las entidades territoriales y el reconocimiento de la diversidad étnica y cultural.</w:t>
      </w:r>
    </w:p>
    <w:p w14:paraId="000000DB"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ámbito internacional tenemos autores modernos que han contribuido a la conceptualización y estudio del fenómeno de la soberanía y su relación con la globalización uno de los más destacados es Stephen Krasner, quien ha desafiado las nociones convencionales y ofrecido una perspectiva más matizada de cómo este concepto ha evolucionado a lo largo del tiempo. Krasner cuestiona la idea ampliamente aceptada de que la Paz de Westfalia en 1648 estableció un sistema de Estados soberanos con el principio de no intervención. En su lugar, argumenta que la historia muestra un patrón constante de violaciones a la soberanía, incluso después de este supuesto punto de inflexión.</w:t>
      </w:r>
    </w:p>
    <w:p w14:paraId="000000DC"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A través de su investigación histórica, Krasner demuestra que las intervenciones en los asuntos internos de otros Estados han sido una característica persistente de las relaciones internacionales. Utiliza una amplia gama de ejemplos históricos, desde el Congreso de Viena hasta los procesos de descolonización y las intervenciones humanitarias modernas, para ilustrar cómo la práctica de la soberanía ha sido mucho más flexible y contestada de lo que se suele reconocer.</w:t>
      </w:r>
    </w:p>
    <w:p w14:paraId="000000DD"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Krasner sostiene que la soberanía no puede comprenderse desde una lógica funcionalista, sino que debe abordarse institucionalmente, reconociendo que las estructuras pasadas condicionan de manera duradera el comportamiento de los Estados, incluso ante transformaciones significativas del entorno internacional (Krasner, 1988).</w:t>
      </w:r>
    </w:p>
    <w:p w14:paraId="000000DE"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También examina cómo las concepciones de soberanía han evolucionado con el tiempo. Por ejemplo, señala que la idea de que los gobernantes tienen responsabilidades hacia sus ciudadanos es un desarrollo relativamente reciente en la historia de la soberanía. Además, analiza cómo los procesos de globalización han impactado en la soberanía estatal, especialmente en áreas como la economía y los derechos humanos.</w:t>
      </w:r>
    </w:p>
    <w:p w14:paraId="000000DF"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Un aspecto crucial del análisis de Krasner es su observación de que, a pesar de las constantes violaciones de la soberanía en la práctica, el discurso y la retórica de la soberanía han persistido. Esta discrepancia entre la retórica y la realidad es lo que lo lleva a desarrollar su concepto de "hipocresía organizada", una norma sistemáticamente violada por los propios actores que la invocan, en función de sus intereses de poder (Krasner, 1999).</w:t>
      </w:r>
    </w:p>
    <w:p w14:paraId="000000E0"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A través de este análisis histórico, logra demostrar que la soberanía, lejos de ser un concepto estático o un principio inviolable, ha sido siempre un conjunto de prácticas que varían según el contexto y el tiempo. Esta perspectiva histórica fundamenta su argumento más amplio de que la soberanía debe entenderse de manera más flexible y contextual, en lugar de como un principio absoluto e inmutable en las relaciones internacionales.</w:t>
      </w:r>
    </w:p>
    <w:p w14:paraId="000000E1" w14:textId="77777777" w:rsidR="00DD6724" w:rsidRPr="007C5E6F" w:rsidRDefault="0008355F" w:rsidP="004C1A95">
      <w:pPr>
        <w:pStyle w:val="Ttulo2"/>
        <w:spacing w:before="240" w:line="480" w:lineRule="auto"/>
        <w:rPr>
          <w:rFonts w:ascii="Times New Roman" w:eastAsia="Times New Roman" w:hAnsi="Times New Roman" w:cs="Times New Roman"/>
          <w:b/>
          <w:bCs/>
          <w:sz w:val="24"/>
          <w:szCs w:val="24"/>
        </w:rPr>
      </w:pPr>
      <w:bookmarkStart w:id="17" w:name="_qlbwmi90xnih" w:colFirst="0" w:colLast="0"/>
      <w:bookmarkEnd w:id="17"/>
      <w:r w:rsidRPr="007C5E6F">
        <w:rPr>
          <w:rFonts w:ascii="Times New Roman" w:eastAsia="Times New Roman" w:hAnsi="Times New Roman" w:cs="Times New Roman"/>
          <w:b/>
          <w:bCs/>
          <w:sz w:val="24"/>
          <w:szCs w:val="24"/>
        </w:rPr>
        <w:t>Límites actuales de la soberanía estatal en tres ámbitos clave: economía global, seguridad internacional y gobernanza ambiental, a través del análisis de casos de estudio específicos</w:t>
      </w:r>
    </w:p>
    <w:p w14:paraId="000000E2"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noción absoluta de soberanía fue dejada atrás a comienzos del siglo XX, la retórica oficial sobre la paridad soberana e independencia de las naciones se ve severamente cuestionada por la cruda realidad de muchos Estados en el escenario global actual. Esta discrepancia se manifiesta en la ausencia de cohesión social, existen países donde la falta de una estructura social funcional socava la noción misma de Estado soberano. En este punto mostraremos por medio de la casuística como interactúan los límites de la soberanía estatal con tres puntos claves: economía global, seguridad internacional y gobernanza ambiental.</w:t>
      </w:r>
    </w:p>
    <w:p w14:paraId="000000E3"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soberanía nacional, en su evolución, ha desarrollado una estructura dual que comprende una dimensión externa e interna. La dimensión externa representa al Estado en el ámbito internacional, proyectando su autonomía y capacidad de interacción con otras naciones. La dimensión interna, por su parte, se refiere a la autoridad estatal dentro de sus fronteras, aunque su ejercicio está condicionado al reconocimiento internacional obtenido a través de la dimensión externa.</w:t>
      </w:r>
    </w:p>
    <w:p w14:paraId="000000E4"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Este concepto de soberanía se originó con dos propósitos principales: actuar como un mecanismo de defensa territorial contra intervenciones externas y proporcionar legitimidad a un sistema de gobierno específico. Esta dualidad refleja la compleja interrelación entre los asuntos domésticos de un país y su posición en el escenario global, evidenciando la interdependencia de estos aspectos en el mundo contemporáneo. “En un grado significativo, la capacidad de ser soberano provino principalmente de afuera a través de acuerdos entre los Estados en una nueva sociedad de Estados” (Hirst y Thompson, 1996).</w:t>
      </w:r>
    </w:p>
    <w:p w14:paraId="000000E5"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Tradicionalmente se conocen dos tipos de limitaciones, en primer lugar, tenemos la limitación del iure. La erosión parcial de la soberanía estatal es consecuencia de la integración voluntaria de los Estados en diversas entidades y estructuras supranacionales. Mediante este proceso, los Estados ceden deliberadamente ciertos aspectos de su autonomía soberana a cambio de beneficios estratégicos, económicos o políticos. Estas restricciones a la soberanía absoluta se caracterizan por su naturaleza consensual, siendo los propios Estados quienes las adoptan libremente a través de la ratificación de tratados internacionales y convenciones multilaterales. Tales acuerdos, fundamentados en los principios del derecho internacional, establecen un marco jurídico que delimita y regula el ejercicio de la soberanía estatal en determinados ámbitos.</w:t>
      </w:r>
    </w:p>
    <w:p w14:paraId="000000E6"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segunda categoría de restricciones a la soberanía estatal comprende las limitaciones de facto, que emanan de los desequilibrios de poder imperantes en el sistema internacional en cada coyuntura histórica. Un ejemplo paradigmático de este fenómeno se observó durante la Guerra Fría, período en el que la hegemonía bipolar ejercida por Estados Unidos y la Unión Soviética cristalizó en dos esferas de influencia claramente demarcadas. En este contexto, los Estados pertenecientes a cada bloque experimentaban una significativa constricción de su soberanía, condicionada por los intereses y políticas de la superpotencia dominante en su respectiva órbita.</w:t>
      </w:r>
    </w:p>
    <w:p w14:paraId="000000E7"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Estas limitaciones se distinguen por su carácter involuntario y representan restricciones genuinas a la soberanía estatal. Se manifiestan cuando un Estado se ve compelido a aceptar determinados compromisos internacionales o a someterse a condiciones impuestas por otra potencia, sin capacidad real de negociación o disenso. Se evidencian en situaciones donde un Estado carece de la autonomía necesaria para desvincularse de alianzas o estructuras supranacionales en las que está inmerso, aunque ya no se alineen con sus intereses nacionales.</w:t>
      </w:r>
    </w:p>
    <w:p w14:paraId="000000E8"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Por otro lado, tenemos a La globalización, que ha creado una red de interdependencias económicas, culturales y políticas que limitan la capacidad de los Estados para actuar de manera completamente autónoma. Por ejemplo, las cadenas de suministro globales hacen que las economías nacionales sean vulnerables a eventos en otros países. La cultura global compartida a través de internet y medios de comunicación también influye en las políticas internas y las percepciones públicas, lo que puede limitar las opciones de los gobiernos.</w:t>
      </w:r>
    </w:p>
    <w:p w14:paraId="3A701EF6" w14:textId="77777777" w:rsidR="009F7222" w:rsidRPr="007C5E6F" w:rsidRDefault="009F7222" w:rsidP="009F7222">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Una consecuencia clara de las regulaciones estatales en el ámbito digital es la creciente división de Internet en espacios controlados a nivel regional, fenómeno conocido como </w:t>
      </w:r>
      <w:r w:rsidRPr="007C5E6F">
        <w:rPr>
          <w:rFonts w:ascii="Times New Roman" w:eastAsia="Times New Roman" w:hAnsi="Times New Roman" w:cs="Times New Roman"/>
          <w:i/>
          <w:iCs/>
          <w:sz w:val="24"/>
          <w:szCs w:val="24"/>
        </w:rPr>
        <w:t>splinternet</w:t>
      </w:r>
      <w:r w:rsidRPr="007C5E6F">
        <w:rPr>
          <w:rFonts w:ascii="Times New Roman" w:eastAsia="Times New Roman" w:hAnsi="Times New Roman" w:cs="Times New Roman"/>
          <w:sz w:val="24"/>
          <w:szCs w:val="24"/>
        </w:rPr>
        <w:t>. El caso más emblemático es el de China, que a través del llamado Gran Cortafuegos ha restringido el acceso a múltiples plataformas occidentales y ha desarrollado un entorno digital propio. De manera similar, Rusia ha avanzado en esta línea con la promulgación de su ley de “Internet soberano” en 2019.</w:t>
      </w:r>
    </w:p>
    <w:p w14:paraId="6FA4B901" w14:textId="1A05B89A" w:rsidR="009F7222" w:rsidRPr="007C5E6F" w:rsidRDefault="009F7222" w:rsidP="009F7222">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este contexto, Castells (2009) señala que, en la sociedad red, el poder se manifiesta principalmente mediante el control de los flujos de información y comunicación. Así, la fragmentación de Internet no debe entenderse como un resultado fortuito, sino como una estrategia consciente de los Estados para retomar el control de dinámicas comunicativas que la globalización había dispersado.</w:t>
      </w:r>
    </w:p>
    <w:p w14:paraId="42825C59" w14:textId="77777777" w:rsidR="00D917A5" w:rsidRPr="007C5E6F" w:rsidRDefault="00D917A5" w:rsidP="00D917A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Reglamento General de Protección de Datos de la Unión Europea (RGPD, 2016/679) se configura como la iniciativa normativa más amplia y exigente en materia de protección de datos personales. Uno de sus rasgos centrales es su alcance extraterritorial, ya que obliga a cualquier organización que procese información de ciudadanos europeos a cumplir sus disposiciones, sin importar el lugar donde opere. Este enfoque ha influido de manera significativa en la configuración de estándares internacionales sobre privacidad.</w:t>
      </w:r>
    </w:p>
    <w:p w14:paraId="37EFED68" w14:textId="3CBBC0B1" w:rsidR="009F7222" w:rsidRPr="007C5E6F" w:rsidRDefault="00D917A5" w:rsidP="00D917A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Desde una perspectiva crítica, Zuboff (2019) aporta una base teórica clave para entender la necesidad de este tipo de regulación. Su noción de “capitalismo de vigilancia” alude a un modelo económico en el que las plataformas digitales recopilan y analizan datos del comportamiento humano con el propósito de anticipar y orientar conductas en función de intereses comerciales. Según la autora, esta lógica representa un riesgo profundo para la autonomía de las personas, lo que hace imprescindible la adopción de marcos regulatorios capaces de contrarrestar su alcance.</w:t>
      </w:r>
    </w:p>
    <w:p w14:paraId="000000E9" w14:textId="0F3C1FB2"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El primer caso que analizaremos es la crisis financiera de 2008, que tuvo su génesis en la burbuja inmobiliaria en Estados Unidos, en una compleja interacción de factores en el mercado </w:t>
      </w:r>
      <w:r w:rsidR="00ED3F79" w:rsidRPr="007C5E6F">
        <w:rPr>
          <w:rFonts w:ascii="Times New Roman" w:eastAsia="Times New Roman" w:hAnsi="Times New Roman" w:cs="Times New Roman"/>
          <w:sz w:val="24"/>
          <w:szCs w:val="24"/>
        </w:rPr>
        <w:t>e</w:t>
      </w:r>
      <w:r w:rsidRPr="007C5E6F">
        <w:rPr>
          <w:rFonts w:ascii="Times New Roman" w:eastAsia="Times New Roman" w:hAnsi="Times New Roman" w:cs="Times New Roman"/>
          <w:sz w:val="24"/>
          <w:szCs w:val="24"/>
        </w:rPr>
        <w:t>stadounidense. Todo comenzó con una burbuja inmobiliaria alimentada por bajas tasas de interés y una política de crédito laxa, que llevó a la proliferación de hipotecas de alto riesgo.</w:t>
      </w:r>
    </w:p>
    <w:p w14:paraId="000000EA"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Estas hipotecas fueron empaquetadas en complejos productos financieros (titulización) que se vendieron en todo el mundo, distribuyendo el riesgo por el sistema financiero global. La desregulación del sector financiero permitió a los bancos asumir riesgos excesivos, mientras que las agencias de calificación crediticia fallaron al evaluar adecuadamente estos productos. El alto apalancamiento de las instituciones financieras las hizo vulnerables a pequeñas fluctuaciones del mercado. Cuando los precios de las viviendas comenzaron a caer y los impagos aumentaron, se desencadenó una reacción en cadena.</w:t>
      </w:r>
    </w:p>
    <w:p w14:paraId="000000EB"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complejidad e interconexión del sistema financiero moderno provocó que la crisis se propagara rápidamente, afectando a la economía global y llevando a una recesión mundial, demostrando claramente la interconexión de la economía global y cómo los problemas en un país pueden propagarse rápidamente a nivel internacional, varios países europeos, especialmente Grecia, Irlanda, Portugal, España e Italia, enfrentaron graves crisis de deuda. Esto llevó a la implementación de medidas de austeridad y a tensiones en la Unión Europea.</w:t>
      </w:r>
    </w:p>
    <w:p w14:paraId="000000EC"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Otro aspecto de la crisis financiera de 2008 fue el impacto que tuvo en los países en desarrollo, manifestándose en diversas dimensiones económicas y sociales. En primer lugar, muchos de estos países experimentaron una severa desaceleración económica, caracterizada por la contracción del comercio global y la disminución de la inversión extranjera directa, lo que resultó en un notable descenso en sus tasas de crecimiento. Además, el aumento del desempleo fue significativo, ya que las empresas, enfrentando dificultades financieras, se vieron obligadas a reducir su personal, afectando especialmente a los sectores más vulnerables de la población.</w:t>
      </w:r>
    </w:p>
    <w:p w14:paraId="000000ED"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crisis también condujo a un incremento en la deuda pública, ya que los gobiernos recurrieron al endeudamiento para estabilizar sus economías, limitando así su capacidad para invertir en desarrollo y servicios esenciales. Asimismo, las desigualdades económicas se acentuaron, con los más desfavorecidos sufriendo las consecuencias más severas, mientras que las élites económicas comenzaron a recuperarse más rápidamente. Finalmente, muchos países en desarrollo dependieron de la ayuda internacional y de programas de rescate, lo que a menudo implicó la implementación de medidas de austeridad que perjudicaron aún más a las comunidades vulnerables. En conjunto, la crisis de 2008 subrayó la interconexión de la economía global y la vulnerabilidad de los países en desarrollo ante las crisis financieras.</w:t>
      </w:r>
    </w:p>
    <w:p w14:paraId="000000EE"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Las organizaciones internacionales también juegan un papel preponderante y son un límite de la soberanía moderna, entidades supranacionales como la ONU, la UE, o la OTAN tienen un impacto significativo en la soberanía de sus Estados miembros; un ejemplo de ello es La UE que requiere que sus miembros cedan cierto grado de soberanía en áreas como política monetaria (para los países de la eurozona) y regulaciones comerciales.</w:t>
      </w:r>
    </w:p>
    <w:p w14:paraId="000000EF"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relación con seguridad internacional tenemos al ejemplo de La ONU que puede imponer sanciones o autorizar intervenciones militares, limitando la autonomía de los Estados en cuestiones de seguridad internacional, y no es la única entidad que tiene la potestad de inferir, los miembros de la OTAN tienen el compromiso de defensa mutua que puede obligar a los países a participar en conflictos que de otro modo podrían evitar.</w:t>
      </w:r>
    </w:p>
    <w:p w14:paraId="000000F0"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Unión Europea es el ejemplo más significativo y estudiado de la cesión de soberanía de un grupo de países autónomos a favor de una unidad política, la posibilidad de sancionar por parte de la UE a países no miembros, como una entidad capaz de afectar la soberanía de estos países que no tienen una relación jurídica vinculante con ella.</w:t>
      </w:r>
    </w:p>
    <w:p w14:paraId="000000F1"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Un aspecto que merece su propio apartado es el impacto de estas sanciones en la economía de los países afectados y cómo esto se relaciona con el ejercicio de su soberanía, las sanciones dirigidas a sectores claves como energía o tecnología pueden limitar el desarrollo a largo plazo del país, afectando su capacidad para ejercer plenamente su soberanía en el futuro, sumado a las negociaciones asimétricas, los países sancionados regularmente se ven obligados a negociar desde una posición de desventaja, lo que puede llevar a concesiones que de otro modo no habrían hecho. Las sanciones de la UE tienen una particularidad y es que a menudo llevan a que otros países o entidades internacionales impongan sus propias sanciones, amplificando el impacto en la soberanía del país sancionado.</w:t>
      </w:r>
    </w:p>
    <w:p w14:paraId="000000F2" w14:textId="28D0674B"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Para ejemplificar mejor lo anterior, utilizaremos a las sanciones impuestas en contra de Rusia, como potencia global y país desarrollado, ha experimentado un impacto significativo en su soberanía efectiva debido a las sanciones impuestas por la Unión Europea desde 2014, intensificadas en 2022 tras la invasión de Ucrania. Estas sanciones han afectado diversos aspectos de la soberanía rusa: en el ámbito económico, las restricciones al acceso a los mercados financieros europeos y la tecnología occidental han limitado la capacidad de Rusia para desarrollar sectores clave como el energético y el de defensa, reduciendo su autonomía económica.</w:t>
      </w:r>
    </w:p>
    <w:p w14:paraId="000000F3"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términos de política exterior, las sanciones han aislado a Rusia de foros internacionales importantes y han forzado una reorientación hacia alianzas alternativas, principalmente con China, alterando su posición geopolítica. Internamente, aunque las sanciones han sido utilizadas por el gobierno ruso para fomentar un sentimiento nacionalista, también han provocado presiones económicas que desafían la estabilidad política.</w:t>
      </w:r>
    </w:p>
    <w:p w14:paraId="000000F4"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congelación de activos de individuos y empresas rusas en Europa ha limitado la capacidad del Estado y sus élites para disponer libremente de sus recursos en el extranjero. Además, los embargos de armas y tecnología han obstaculizado la modernización militar rusa, afectando su proyección de poder global. En respuesta, Rusia ha buscado desarrollar sistemas financieros y tecnológicos alternativos para evadir sanciones, ilustrando cómo las medidas punitivas de la UE han forzado cambios sustanciales en las políticas y estrategias soberanas de Rusia, demostrando el profundo impacto que pueden tener las sanciones incluso en países grandes y desarrollados.</w:t>
      </w:r>
    </w:p>
    <w:p w14:paraId="000000F5"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gobernanza ambiental también se ha visto afectada por los limites modernos de la soberanía, el Acuerdo de París sobre el cambio climático, que compromete a los países a reducir sus emisiones de gases de efecto invernadero es de carácter vinculante y presiona a los Estados a modificar su legislación interna o/y a hacer efectivo su cumplimiento, en caso de ya existir, sumado a la Convención sobre el Derecho del Mar, que regula los derechos de los Estados en los océanos.</w:t>
      </w:r>
    </w:p>
    <w:p w14:paraId="000000F6"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disputa de Colombia y Nicaragua por el control de aguas territoriales en el Caribe representa un reto en cuestión de gobernanza ambiental, siendo un problema jurídico que derivó una pérdida de soberanía para Colombia. En 2012, la Corte Internacional de Justicia (CIJ) emitió un fallo que redefinió los límites marítimos entre ambos países, otorgando a Nicaragua una porción significativa de aguas que anteriormente estaban bajo control colombiano.</w:t>
      </w:r>
    </w:p>
    <w:p w14:paraId="000000F7"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decisión provocó la pérdida de soberanía para Colombia sobre unos 75,000 kilómetros cuadrados de territorio marítimo, al perder control efectivo de una extensa área marítima que antes consideraba parte de su territorio nacional. Esto significa que ya no puede ejercer plena autoridad en esas aguas en términos de seguridad, explotación de recursos o regulación de actividades.</w:t>
      </w:r>
    </w:p>
    <w:p w14:paraId="000000F8"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Otro aspecto por resaltar es el cambio en los límites marítimos que afecta las estrategias de defensa y seguridad de Colombia en el Caribe, requiriendo una adaptación de sus operaciones navales y de vigilancia costera. Este caso ilustra cómo las decisiones de tribunales internacionales pueden afectar significativamente la soberanía de los Estados, y cómo los países buscan equilibrar el respeto al derecho internacional con la protección de sus intereses nacionales.</w:t>
      </w:r>
    </w:p>
    <w:p w14:paraId="000000F9"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fallo generó controversia en Colombia, donde se percibió como una pérdida injusta de territorio nacional y recursos marinos. Desde entonces, Colombia ha buscado formas de mitigar el impacto de esta decisión, mientras que Nicaragua ha intentado hacer valer sus nuevos derechos sobre las aguas adjudicadas. Este conflicto ha tensado las relaciones diplomáticas entre ambos países y ha llevado a debates sobre la soberanía nacional y el derecho internacional marítimo en la región del Caribe.</w:t>
      </w:r>
    </w:p>
    <w:p w14:paraId="000000FA"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Paralelamente los problemas globales como el cambio climático, las pandemias o la proliferación nuclear requieren una cooperación internacional que puede limitar la acción unilateral de los Estados. Poniendo en manifiesto la necesidad de cooperación, por ejemplo: las medidas para combatir el cambio climático a menudo requieren compromisos internacionales que pueden afectar las políticas energéticas e industriales nacionales. La respuesta a pandemias como el COVID-19 ha requerido coordinación internacional en áreas como restricciones de viaje y distribución de vacunas.</w:t>
      </w:r>
    </w:p>
    <w:p w14:paraId="000000FB"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Otro límite bastante desarrollado de la soberanía de los Estados son los Derechos humanos, el concepto de "responsabilidad de proteger" adoptado por la ONU permite, en teoría, la intervención internacional en casos de graves violaciones de derechos humanos, incluso sin el consentimiento del Estado en cuestión. Esto representa un desafío significativo a la noción tradicional de soberanía absoluta, sumado a La Declaración Universal de los Derechos Humanos y otros tratados de derechos humanos que limitan cómo los Estados pueden tratar a sus ciudadanos.</w:t>
      </w:r>
    </w:p>
    <w:p w14:paraId="000000FC" w14:textId="5F4C00CA"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Sumado a lo anterior tenemos los flujos migratorios que ponen en tensión los límites de dicha soberanía, estos movimientos masivos de personas, ya sea por razones económicas o como refugiados, desafían la capacidad de los Estados para controlar sus fronteras y mantener políticas migratorias estrictas. Esto puede llevar a tensiones diplomáticas y requiere cooperación internacional para su manejo efectivo, forzando a los Estados receptores a crear políticas públicas, leyes y planes de contingencia para afrontar el fenómeno migratorio, un ejemplo de esto sería la crisis migratoria de Venezuela </w:t>
      </w:r>
      <w:r w:rsidR="005F0A5A">
        <w:rPr>
          <w:rFonts w:ascii="Times New Roman" w:eastAsia="Times New Roman" w:hAnsi="Times New Roman" w:cs="Times New Roman"/>
          <w:sz w:val="24"/>
          <w:szCs w:val="24"/>
        </w:rPr>
        <w:t>que tienen su génesis en el 2</w:t>
      </w:r>
      <w:r w:rsidRPr="007C5E6F">
        <w:rPr>
          <w:rFonts w:ascii="Times New Roman" w:eastAsia="Times New Roman" w:hAnsi="Times New Roman" w:cs="Times New Roman"/>
          <w:sz w:val="24"/>
          <w:szCs w:val="24"/>
        </w:rPr>
        <w:t>014 siendo Colombia el país con mayor número de ciudadanos migrantes venezolanos hasta la fecha, sin embargo, no es el único ejemplo en el mundo, también tenemos a los palestinos y ucranianos, grupos poblacionales que han enfrentado dicha problemática y que en su mayoría están en situación de vulnerabilidad.</w:t>
      </w:r>
    </w:p>
    <w:p w14:paraId="000000FD"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Siguiendo la misma línea tenemos al terrorismo y crimen organizado, estas amenazas transnacionales requieren que los Estados cooperen en inteligencia, aplicación de la ley y, a veces, operaciones militares. En la mayoría de los casos esto implica compartir información sensible con otros países; permitir operaciones de fuerzas extranjeras en territorio nacional; adoptar leyes y políticas acordadas internacionalmente, potencialmente en conflicto con preferencias nacionales.</w:t>
      </w:r>
    </w:p>
    <w:p w14:paraId="000000FE"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Lo anterior representan desafíos significativos para la soberanía de los Estados en el mundo contemporáneo. Estos fenómenos transnacionales ponen a prueba los fundamentos tradicionales del poder estatal y la integridad territorial, obligando a repensar las concepciones clásicas de la soberanía westfaliana.</w:t>
      </w:r>
    </w:p>
    <w:p w14:paraId="000000FF"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primer lugar, estas actividades ilícitas desafían el monopolio legítimo del uso de la fuerza, considerado un atributo fundamental de la soberanía estatal. Cuando grupos terroristas u organizaciones criminales logran ejercer violencia de manera sistemática dentro de las fronteras de un Estado, socavan la autoridad exclusiva del gobierno para mantener el orden y la seguridad. Este desafío no solo es práctico, sino también simbólico, ya que erosiona la percepción de la capacidad del Estado para proteger a sus ciudadanos.</w:t>
      </w:r>
    </w:p>
    <w:p w14:paraId="00000100"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control territorial, otro aspecto clave de la soberanía, también se ve comprometido por estos actores no estatales. En muchos casos, grupos terroristas o carteles del crimen organizado logran establecer un control de facto sobre ciertas áreas geográficas, creando "zonas sin ley" donde la autoridad estatal es limitada o prácticamente inexistente. Esta situación no solo representa una pérdida de control efectivo por parte del Estado, sino que también puede llevar a la creación de estructuras de gobierno paralelas que compiten con las instituciones oficiales.</w:t>
      </w:r>
    </w:p>
    <w:p w14:paraId="00000101"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legitimidad del Estado, un componente esencial de la soberanía interna se ve igualmente afectada. Cuando un gobierno es percibido como incapaz de proteger a sus ciudadanos contra las amenazas del terrorismo o del crimen organizado, su legitimidad ante la población puede verse severamente socavada. Esta pérdida de confianza puede tener repercusiones profundas en la estabilidad política y social del país.</w:t>
      </w:r>
    </w:p>
    <w:p w14:paraId="00000102"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ámbito internacional, el carácter transnacional de estas amenazas desafía la noción tradicional de fronteras estatales y soberanía westfaliana. Las redes terroristas y criminales operan a través de las fronteras con relativa facilidad, lo que pone en evidencia las limitaciones de los Estados para controlar sus territorios de manera efectiva en un mundo globalizado. Esta realidad ha llevado a un aumento de la cooperación internacional en materia de seguridad, pero también ha generado tensiones cuando las acciones para combatir estas amenazas implican intervenciones en la soberanía de otros Estados.</w:t>
      </w:r>
    </w:p>
    <w:p w14:paraId="00000103"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lucha contra el terrorismo y el crimen organizado a menudo conduce a intervenciones externas, ya sea por invitación del Estado afectado o de manera unilateral por parte de otros actores internacionales. Estas intervenciones, aunque puedan ser necesarias para combatir las amenazas, inevitablemente afectan la soberanía del Estado anfitrión. La presencia de fuerzas extranjeras o la implementación de políticas diseñadas externamente pueden limitar la autonomía del gobierno local en la toma de decisiones y en el control de su territorio.</w:t>
      </w:r>
    </w:p>
    <w:p w14:paraId="00000104"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ámbito económico, las actividades ilícitas asociadas al terrorismo y al crimen organizado pueden tener un impacto profundo en la soberanía de los Estados. El lavado de dinero, el tráfico ilegal y otras actividades económicas clandestinas distorsionan las economías nacionales y socavan la capacidad de los gobiernos para controlar sus sistemas financieros. Esto no solo afecta la soberanía económica de los Estados, sino que también puede tener repercusiones en su estabilidad política y social.</w:t>
      </w:r>
    </w:p>
    <w:p w14:paraId="00000105"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Finalmente, la influencia del crimen organizado en la política nacional representa una amenaza sutil pero significativa para la soberanía estatal. Cuando grupos criminales logran infiltrarse en las estructuras de gobierno o influir en los procesos de toma de decisiones, comprometen la independencia y la integridad de las instituciones democráticas. Esto puede llevar a una erosión gradual de la soberanía desde dentro, donde las decisiones gubernamentales se ven influenciadas por intereses criminales en lugar de por el interés público.</w:t>
      </w:r>
    </w:p>
    <w:p w14:paraId="7C856673" w14:textId="473857E4" w:rsidR="004E2DF0" w:rsidRDefault="0008355F" w:rsidP="00A67884">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Algunos Estados se encuentran en una posición de subordinación casi total frente a potencias más influyentes, comprometiendo su autonomía real, siendo en su mayoría micro</w:t>
      </w:r>
      <w:r w:rsidR="00584209" w:rsidRPr="007C5E6F">
        <w:rPr>
          <w:rFonts w:ascii="Times New Roman" w:eastAsia="Times New Roman" w:hAnsi="Times New Roman" w:cs="Times New Roman"/>
          <w:sz w:val="24"/>
          <w:szCs w:val="24"/>
        </w:rPr>
        <w:t>e</w:t>
      </w:r>
      <w:r w:rsidRPr="007C5E6F">
        <w:rPr>
          <w:rFonts w:ascii="Times New Roman" w:eastAsia="Times New Roman" w:hAnsi="Times New Roman" w:cs="Times New Roman"/>
          <w:sz w:val="24"/>
          <w:szCs w:val="24"/>
        </w:rPr>
        <w:t>stados o islas pequeñas, lo que contribuye a su vulnerabilidad. La dependencia puede ser resultado de acuerdos históricos, necesidades de seguridad, o limitaciones económicas y geográficas. En algunos casos, como Mónaco o Liechtenstein, la dependencia coexiste con un alto nivel de vida para sus ciudadanos, para Estados insulares como Tuvalu o Nauru, el cambio climático está exacerbando su dependencia. Dicha "dependencia extrema" no necesariamente implica falta de soberanía formal, pero sí limita significativamente la autonomía práctica en la toma de decisiones.</w:t>
      </w:r>
    </w:p>
    <w:p w14:paraId="628971F2" w14:textId="77777777" w:rsidR="00A67884" w:rsidRPr="007C5E6F" w:rsidRDefault="00A67884" w:rsidP="00A67884">
      <w:pPr>
        <w:spacing w:before="240" w:line="480" w:lineRule="auto"/>
        <w:ind w:firstLine="720"/>
        <w:rPr>
          <w:rFonts w:ascii="Times New Roman" w:eastAsia="Times New Roman" w:hAnsi="Times New Roman" w:cs="Times New Roman"/>
          <w:sz w:val="24"/>
          <w:szCs w:val="24"/>
        </w:rPr>
      </w:pPr>
    </w:p>
    <w:p w14:paraId="00000108" w14:textId="77777777" w:rsidR="00DD6724" w:rsidRPr="007C5E6F" w:rsidRDefault="0008355F" w:rsidP="004C1A95">
      <w:pPr>
        <w:pStyle w:val="Ttulo2"/>
        <w:spacing w:before="240" w:line="480" w:lineRule="auto"/>
        <w:rPr>
          <w:rFonts w:ascii="Times New Roman" w:eastAsia="Times New Roman" w:hAnsi="Times New Roman" w:cs="Times New Roman"/>
          <w:b/>
          <w:bCs/>
          <w:sz w:val="24"/>
          <w:szCs w:val="24"/>
        </w:rPr>
      </w:pPr>
      <w:bookmarkStart w:id="18" w:name="_cdwupab34rea" w:colFirst="0" w:colLast="0"/>
      <w:bookmarkEnd w:id="18"/>
      <w:r w:rsidRPr="007C5E6F">
        <w:rPr>
          <w:rFonts w:ascii="Times New Roman" w:eastAsia="Times New Roman" w:hAnsi="Times New Roman" w:cs="Times New Roman"/>
          <w:b/>
          <w:bCs/>
          <w:sz w:val="24"/>
          <w:szCs w:val="24"/>
        </w:rPr>
        <w:t>El impacto de la transformación de la soberanía en las dinámicas de poder del escenario internacional contemporáneo, considerando el papel de actores estatales, no estatales y organizaciones supranacionales</w:t>
      </w:r>
    </w:p>
    <w:p w14:paraId="00000109"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transformación de la soberanía en el escenario internacional contemporáneo ha tenido un impacto significativo en las dinámicas de poder, alterando las relaciones entre actores estatales, no estatales y organizaciones supranacionales. En este punto se presentará un análisis del impacto de dichas transformaciones.</w:t>
      </w:r>
    </w:p>
    <w:p w14:paraId="0000010A"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redefinición a la que se ha visto sometida el concepto de soberanía, tradicionalmente, se entendía como el poder absoluto y exclusivo de un Estado sobre su territorio y asuntos internos, libre de interferencias externas. Sin embargo, en el contexto contemporáneo, la soberanía ha experimentado una transformación significativa debido a la globalización, la interdependencia económica, y la creciente importancia de los derechos humanos y el derecho internacional. Esta transformación ha llevado a la soberanía compartida, donde los Estados, aunque siguen siendo actores clave, ya no tienen el monopolio absoluto del poder.</w:t>
      </w:r>
    </w:p>
    <w:p w14:paraId="0000010B" w14:textId="4B7AE4F5"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concepto de poder tiene sus raíces en el latín "</w:t>
      </w:r>
      <w:r w:rsidR="00ED3F79" w:rsidRPr="007C5E6F">
        <w:rPr>
          <w:rFonts w:ascii="Times New Roman" w:eastAsia="Times New Roman" w:hAnsi="Times New Roman" w:cs="Times New Roman"/>
          <w:sz w:val="24"/>
          <w:szCs w:val="24"/>
        </w:rPr>
        <w:t>P</w:t>
      </w:r>
      <w:r w:rsidRPr="007C5E6F">
        <w:rPr>
          <w:rFonts w:ascii="Times New Roman" w:eastAsia="Times New Roman" w:hAnsi="Times New Roman" w:cs="Times New Roman"/>
          <w:sz w:val="24"/>
          <w:szCs w:val="24"/>
        </w:rPr>
        <w:t>ossum" (puedo), que implica la capacidad o fuerza para lograr algo. Este término abarca tanto el dominio sobre objetos físicos como la influencia en ámbitos morales, políticos o científicos. "Possum" se relaciona estrechamente con "potestas" (potestad, poderío) y "facultas" (capacidad, talento). Estos términos no solo sugieren la habilidad de ser potente o capaz, sino también de ejercer influencia y ser eficaz.</w:t>
      </w:r>
    </w:p>
    <w:p w14:paraId="0000010C" w14:textId="6EC806D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contexto de este análisis, es crucial entender que el poder está intrínsecamente vinculado a la noción de fuerza. Además, como señala Mayz-Vallenilla (1982), el concepto de poder se entrelaza con otros términos latinos significativos: "Imperium": el mando supremo de la autoridad. "Arbitrium": la voluntad o albedrío en el ejercicio del poder. "Potentia": la fuerza o eficacia de un individuo. "Auctoritas": la autoridad o influencia moral derivada de la virtud.</w:t>
      </w:r>
    </w:p>
    <w:p w14:paraId="0000010D"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Otro autor que habla sobre el poder y las dinámicas de poder es Foucault, este propone que los individuos no son meros receptores pasivos del poder, sino "sujetos actuantes". Esto implica que cada persona, en virtud de su capacidad de acción, participa activamente en las relaciones de poder. Así, el poder no se ejerce simplemente sobre sujetos inertes, sino que opera a través de y entre individuos que constantemente toman decisiones, reaccionan y se adaptan.</w:t>
      </w:r>
    </w:p>
    <w:p w14:paraId="0000010E"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Para Foucault son sujetos actuantes y cuyas acciones “incitan, inducen y seducen […] Si el poder se define como acción, se comprende que es un proceso dinámico que se ejerce sólo sobre sujetos libres y solamente en la medida en que ellos son libres” (Foucault, 1991).</w:t>
      </w:r>
    </w:p>
    <w:p w14:paraId="0000010F"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Los Estados siguen siendo los actores principales en el sistema internacional y ostenta parcialmente el poder, pero su soberanía se ve cada vez más condicionada por compromisos internacionales y por la influencia de actores no estatales. Los Estados han tenido que adaptarse a un entorno donde su capacidad para actuar unilateralmente se ve limitada por factores como: Tratados y acuerdos internacionales, a menudo deben ceder parte de su soberanía para formar parte de acuerdos globales, como los acuerdos comerciales, el Protocolo de Kyoto o el Acuerdo de París sobre el cambio climático; las Intervenciones humanitarias y principios de responsabilidad de proteger. Estos principios limitan la soberanía de los Estados en casos donde se violan gravemente los derechos humanos.</w:t>
      </w:r>
    </w:p>
    <w:p w14:paraId="00000110"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poder de los actores no estatales, como corporaciones multinacionales, ONGs, movimientos sociales y grupos armados, ha crecido considerablemente, influyendo en la política internacional y, en muchos casos, desafiando la soberanía estatal. Las Corporaciones multinacionales a través de su control sobre capitales y recursos, pueden influir en las políticas económicas y regulatorias de los Estados, a veces incluso condicionando la soberanía económica de los mismos.</w:t>
      </w:r>
    </w:p>
    <w:p w14:paraId="00000111"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globalización como eje transversal de las relaciones multilaterales de todos estos actores hacen que el monopolio del Estado se vea amenazado. En el escenario internacional contemporáneo, la distribución del poder trasciende la tradicional monopolización estatal, emergiendo un panorama donde diversos actores no estatales adquieren una influencia determinante. Las corporaciones multinacionales, con presupuestos que superan el PIB de numerosos países, se configuran como verdaderos agentes geopolíticos capaces de influir en decisiones económicas y políticas globales. Simultáneamente, las organizaciones no gubernamentales (ONG) desarrollan una capacidad de incidencia internacional sin precedentes, movilizando recursos, generando opinión pública y ejerciendo presión sobre gobiernos y organismos internacionales en materias como derechos humanos, medio ambiente y justicia social.</w:t>
      </w:r>
    </w:p>
    <w:p w14:paraId="00000112"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Los desafíos geopolíticos emergentes revelan la profunda complejidad de un mundo donde los problemas globales desbordan sistemáticamente la capacidad de respuesta de los Estados individuales. Las tensiones entre la soberanía nacional y la integración global se manifiestan de manera tangible en fenómenos como el cambio climático, las pandemias, las crisis migratorias y los conflictos económicos transnacionales, que requieren respuestas coordinadas y multilaterales.</w:t>
      </w:r>
    </w:p>
    <w:p w14:paraId="00000113"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Estas dinámicas obligan a reconfigurar los marcos jurídicos internacionales, desarrollando nuevos instrumentos de gobernanza que permitan una acción colectiva efectiva. La gestión de estos desafíos implica superar los tradicionales mecanismos de negociación bilateral o regional, transitando hacia arquitecturas de cooperación más complejas y flexibles.</w:t>
      </w:r>
    </w:p>
    <w:p w14:paraId="00000114"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Emergen así nuevas formas de resolución de conflictos que privilegian el diálogo, la construcción de consensos y la implementación de estrategias conjuntas, donde la diplomacia multilateral, las organizaciones internacionales y los mecanismos de cooperación técnica se convierten en herramientas fundamentales para abordar problemas que ningún Estado puede resolver de manera individual. Esta transformación geopolítica no solo representa un cambio procedimental, sino una profunda mutación en la comprensión de la interdependencia global y la necesidad de desarrollar mecanismos de gobernanza que trasciendan los límites territoriales tradicionales.</w:t>
      </w:r>
    </w:p>
    <w:p w14:paraId="00000115"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Los movimientos sociales transnacionales, potenciados por plataformas digitales, generan redes de solidaridad y acción colectiva que desbordan las fronteras nacionales, desafiando narrativas oficiales y construyendo nuevas formas de legitimidad política. Las plataformas tecnológicas, por su parte, se constituyen como espacios de intermediación global, donde la información, el conocimiento y la movilización social se producen de manera instantánea y horizontal, erosionando los mecanismos tradicionales de control y representación estatal. Esta multiplicidad de actores no solo complementa, sino que redefine sustancialmente la capacidad de agencia e influencia en el sistema internacional, generando un ecosistema de poder múltiple, dinámico y crecientemente complejo.</w:t>
      </w:r>
    </w:p>
    <w:p w14:paraId="77DD3490" w14:textId="4FCD638D" w:rsidR="003D2F7D" w:rsidRPr="007C5E6F" w:rsidRDefault="0008355F" w:rsidP="00B10790">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Se ha producido una inversión significativa en el orden global. Anteriormente, el marco jurídico internacional establecía las pautas para el desarrollo de la globalización en sus etapas iniciales. Ahora observamos que este orden se ha revertido. Ahora es la propia dinámica de la globalización la que dicta y moldea el derecho internacional, subordinándolo a sus propias necesidades y tendencias. Este cambio refleja cómo las fuerzas económicas y sociales de la globalización han adquirido un poder que supera las estructuras legales tradicionales, redefiniendo así las reglas del juego en el escenario mundial.</w:t>
      </w:r>
    </w:p>
    <w:p w14:paraId="4DA6D8DE" w14:textId="15E18B00" w:rsidR="00A625D7" w:rsidRPr="007C5E6F" w:rsidRDefault="003E320E" w:rsidP="00A625D7">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Teniendo en cuenta lo anterior, </w:t>
      </w:r>
      <w:r w:rsidR="006D3DD1" w:rsidRPr="007C5E6F">
        <w:rPr>
          <w:rFonts w:ascii="Times New Roman" w:eastAsia="Times New Roman" w:hAnsi="Times New Roman" w:cs="Times New Roman"/>
          <w:sz w:val="24"/>
          <w:szCs w:val="24"/>
        </w:rPr>
        <w:t xml:space="preserve">haré un análisis de </w:t>
      </w:r>
      <w:r w:rsidR="00693BCD" w:rsidRPr="007C5E6F">
        <w:rPr>
          <w:rFonts w:ascii="Times New Roman" w:eastAsia="Times New Roman" w:hAnsi="Times New Roman" w:cs="Times New Roman"/>
          <w:sz w:val="24"/>
          <w:szCs w:val="24"/>
        </w:rPr>
        <w:t>casos particulares contemporáneos que describen la tensión que ha sobrevenido a la soberanía en los últimos años</w:t>
      </w:r>
      <w:r w:rsidR="00A625D7" w:rsidRPr="007C5E6F">
        <w:rPr>
          <w:rFonts w:ascii="Times New Roman" w:eastAsia="Times New Roman" w:hAnsi="Times New Roman" w:cs="Times New Roman"/>
          <w:sz w:val="24"/>
          <w:szCs w:val="24"/>
        </w:rPr>
        <w:t>. Los conflictos y crisis geopolíticas del período 2023–2026 ofrecen evidencia empírica de primer orden para comprender la transformación contemporánea del concepto de soberanía. Los casos de Rusia en Ucrania, Israel en Gaza y el Líbano, Estados Unidos y Venezuela, y el conflicto entre Israel, Estados Unidos e Irán no son fenómenos aislados, sino expresiones articuladas de un sistema internacional en profunda reconfiguración, donde la soberanía formal coexiste con una soberanía real severamente condicionada por las asimetrías de poder. El análisis de estos casos permite enriquecer y contrastar las perspectivas teóricas de Keohane y Nye (1977), Gilpin (1981) y Foucault (1991), aportando sustento empírico a los planteamientos sobre la interdependencia, la estabilidad hegemónica y las dinámicas de poder en el sistema internacional.</w:t>
      </w:r>
    </w:p>
    <w:p w14:paraId="7C0D7925" w14:textId="77777777" w:rsidR="00B450CD" w:rsidRPr="007C5E6F" w:rsidRDefault="00B450CD" w:rsidP="00310F46">
      <w:pPr>
        <w:spacing w:after="200" w:line="480" w:lineRule="auto"/>
        <w:ind w:firstLine="720"/>
      </w:pPr>
      <w:r w:rsidRPr="007C5E6F">
        <w:rPr>
          <w:rFonts w:ascii="Times New Roman" w:eastAsia="Times New Roman" w:hAnsi="Times New Roman" w:cs="Times New Roman"/>
          <w:sz w:val="24"/>
          <w:szCs w:val="24"/>
        </w:rPr>
        <w:t>El conflicto ruso-ucraniano, que al comenzar 2026 entra en su quinto año de desarrollo, constituye el caso más paradigmático de violación directa del principio de soberanía en el escenario contemporáneo. La comunidad internacional, encabezada por la Unión Europea, ha mantenido su postura de rechazo a la agresión. Al respecto, el Consejo Europeo (2026) reafirmó su apoyo a "la independencia, la soberanía y la integridad territorial de Ucrania dentro de sus fronteras reconocidas internacionalmente", subrayando que cualquier paz durable debe fundamentarse en los principios de la Carta de las Naciones Unidas y el Derecho internacional (p. 2).</w:t>
      </w:r>
    </w:p>
    <w:p w14:paraId="2BED7628" w14:textId="77777777" w:rsidR="00B450CD" w:rsidRPr="007C5E6F" w:rsidRDefault="00B450CD" w:rsidP="00310F46">
      <w:pPr>
        <w:spacing w:after="200" w:line="480" w:lineRule="auto"/>
        <w:ind w:firstLine="720"/>
      </w:pPr>
      <w:r w:rsidRPr="007C5E6F">
        <w:rPr>
          <w:rFonts w:ascii="Times New Roman" w:eastAsia="Times New Roman" w:hAnsi="Times New Roman" w:cs="Times New Roman"/>
          <w:sz w:val="24"/>
          <w:szCs w:val="24"/>
        </w:rPr>
        <w:t>Sin embargo, el caso revela una tensión adicional y particularmente significativa para el análisis teórico: el propio actor que históricamente ha operado como garante del orden normativo liberal —Estados Unidos— ha comenzado a adoptar una lógica radicalmente distinta. Según Ferrero-Turrión (2026), frente a su papel tradicional de garante del orden internacional, Estados Unidos ha adoptado bajo la administración Trump "una lógica abiertamente transaccional", donde la prioridad ha pasado de la defensa de principios normativos a la obtención de resultados rápidos y políticamente rentables, lo que se expresa en propuestas de paz que incorporan concesiones significativas a Rusia, negociadas previamente con Moscú sin participación directa de Kiev (p. 1).</w:t>
      </w:r>
    </w:p>
    <w:p w14:paraId="4FDA9DCB" w14:textId="77777777" w:rsidR="00B450CD" w:rsidRPr="007C5E6F" w:rsidRDefault="00B450CD" w:rsidP="00310F46">
      <w:pPr>
        <w:spacing w:after="200" w:line="480" w:lineRule="auto"/>
        <w:ind w:firstLine="720"/>
      </w:pPr>
      <w:r w:rsidRPr="007C5E6F">
        <w:rPr>
          <w:rFonts w:ascii="Times New Roman" w:eastAsia="Times New Roman" w:hAnsi="Times New Roman" w:cs="Times New Roman"/>
          <w:sz w:val="24"/>
          <w:szCs w:val="24"/>
        </w:rPr>
        <w:t>Esta dinámica conecta directamente con la teoría de la estabilidad hegemónica desarrollada por Gilpin (1981): cuando la potencia hegemónica abandona su rol de garante normativo y adopta un comportamiento transaccional o de realpolitik, la arquitectura del orden internacional se debilita estructuralmente, dejando a los Estados medianos y pequeños expuestos a la arbitrariedad de las grandes potencias. El caso ucraniano demuestra, además, que la vigencia del derecho internacional no es autónoma, sino que depende de la voluntad política de los actores con mayor capacidad de proyección de poder.</w:t>
      </w:r>
    </w:p>
    <w:p w14:paraId="1B6775CA" w14:textId="77777777" w:rsidR="005515FF" w:rsidRPr="007C5E6F" w:rsidRDefault="005515FF" w:rsidP="00310F46">
      <w:pPr>
        <w:spacing w:after="200" w:line="480" w:lineRule="auto"/>
        <w:ind w:firstLine="720"/>
      </w:pPr>
      <w:r w:rsidRPr="007C5E6F">
        <w:rPr>
          <w:rFonts w:ascii="Times New Roman" w:eastAsia="Times New Roman" w:hAnsi="Times New Roman" w:cs="Times New Roman"/>
          <w:sz w:val="24"/>
          <w:szCs w:val="24"/>
        </w:rPr>
        <w:t>El caso israelí introduce uno de los conceptos más perturbadores para la teoría contemporánea de la soberanía: la existencia de una soberanía diferenciada según el respaldo geopolítico que cada actor reciba de las grandes potencias. Amnistía Internacional (2026) documentó que, pese al anuncio de un alto el fuego en octubre de 2025, las operaciones militares israelíes en Gaza no cesaron, causando más de 830 bajas civiles durante el denominado período de tregua, mientras que en el Líbano los ataques desde febrero de 2026 causaron aproximadamente 2.700 muertes y el desplazamiento de más de un millón de personas (p. 1).</w:t>
      </w:r>
    </w:p>
    <w:p w14:paraId="6B1E9175" w14:textId="77777777" w:rsidR="005515FF" w:rsidRPr="007C5E6F" w:rsidRDefault="005515FF" w:rsidP="00310F46">
      <w:pPr>
        <w:spacing w:after="200" w:line="480" w:lineRule="auto"/>
        <w:ind w:firstLine="720"/>
      </w:pPr>
      <w:r w:rsidRPr="007C5E6F">
        <w:rPr>
          <w:rFonts w:ascii="Times New Roman" w:eastAsia="Times New Roman" w:hAnsi="Times New Roman" w:cs="Times New Roman"/>
          <w:sz w:val="24"/>
          <w:szCs w:val="24"/>
        </w:rPr>
        <w:t>La dimensión soberana del conflicto es explícitamente reconocida por los propios actores afectados. El presidente libanés Joseph Aoun exigió la retirada total de las tropas israelíes, declarando que "la soberanía libanesa no es negociable" y lamentando que la población "sufre bajo el peso de una realidad dolorosa", dado que las agresiones de Israel no habían cesado (La Jornada, 2026, párr. 1).</w:t>
      </w:r>
    </w:p>
    <w:p w14:paraId="0EBF35DC" w14:textId="77777777" w:rsidR="005515FF" w:rsidRPr="007C5E6F" w:rsidRDefault="005515FF" w:rsidP="00310F46">
      <w:pPr>
        <w:spacing w:after="200" w:line="480" w:lineRule="auto"/>
        <w:ind w:firstLine="720"/>
      </w:pPr>
      <w:r w:rsidRPr="007C5E6F">
        <w:rPr>
          <w:rFonts w:ascii="Times New Roman" w:eastAsia="Times New Roman" w:hAnsi="Times New Roman" w:cs="Times New Roman"/>
          <w:sz w:val="24"/>
          <w:szCs w:val="24"/>
        </w:rPr>
        <w:t>Desde la perspectiva del análisis geopolítico, Núñez Villaverde (2026) sostiene que el gobierno israelí busca aprovechar "la ventana de oportunidad" que le ofrecen la debilidad de sus adversarios regionales y el respaldo de la administración Trump, dispuesta a bloquear en la ONU cualquier propuesta de resolución que pueda afectar a Israel, "sea cual sea la violación del derecho internacional que cometa" (p. 1). Este análisis revela un fenómeno que el Movement Law Lab (2025) denomina "licencia geopolítica": la capacidad de un actor de actuar al margen del derecho internacional en virtud del blindaje diplomático que le proporciona una potencia con poder de veto en el Consejo de Seguridad.</w:t>
      </w:r>
    </w:p>
    <w:p w14:paraId="5881F23E" w14:textId="77777777" w:rsidR="005515FF" w:rsidRPr="007C5E6F" w:rsidRDefault="005515FF" w:rsidP="00310F46">
      <w:pPr>
        <w:spacing w:after="200" w:line="480" w:lineRule="auto"/>
        <w:ind w:firstLine="720"/>
      </w:pPr>
      <w:r w:rsidRPr="007C5E6F">
        <w:rPr>
          <w:rFonts w:ascii="Times New Roman" w:eastAsia="Times New Roman" w:hAnsi="Times New Roman" w:cs="Times New Roman"/>
          <w:sz w:val="24"/>
          <w:szCs w:val="24"/>
        </w:rPr>
        <w:t>Lo anterior tiene implicaciones directas para el concepto de soberanía palestina. El Movement Law Lab (2025) señala que, aunque un Estado palestino ha sido reconocido por más de tres cuartas partes de los miembros de las Naciones Unidas (146 de 193), el no reconocimiento por parte de Estados poderosos con poder de veto ha negado a Palestina la plena protección de la Carta de la ONU (p. 1). Esto confirma que la soberanía no opera como un principio universal y simétrico, sino de manera profundamente asimétrica según el capital geopolítico de cada actor, poniendo en evidencia los límites estructurales del orden westfaliano en la práctica contemporánea.</w:t>
      </w:r>
    </w:p>
    <w:p w14:paraId="0C370CA5" w14:textId="77777777" w:rsidR="005515FF" w:rsidRPr="007C5E6F" w:rsidRDefault="005515FF" w:rsidP="00310F46">
      <w:pPr>
        <w:spacing w:after="200" w:line="480" w:lineRule="auto"/>
        <w:ind w:firstLine="720"/>
      </w:pPr>
      <w:r w:rsidRPr="007C5E6F">
        <w:rPr>
          <w:rFonts w:ascii="Times New Roman" w:eastAsia="Times New Roman" w:hAnsi="Times New Roman" w:cs="Times New Roman"/>
          <w:sz w:val="24"/>
          <w:szCs w:val="24"/>
        </w:rPr>
        <w:t>Desde la perspectiva foucaultiana del poder como relación dinámica entre sujetos actuantes (Foucault, 1991), el caso adquiere una dimensión adicional: Palestina y el Líbano actúan, resisten y negocian, pero dentro de márgenes de acción severamente restringidos por la arquitectura de poder del sistema internacional. La agencia existe, pero opera en condiciones de asimetría radical que condicionan estructuralmente sus posibilidades de ejercicio soberano.</w:t>
      </w:r>
    </w:p>
    <w:p w14:paraId="2460BAA3" w14:textId="77777777" w:rsidR="005D20D8" w:rsidRDefault="005515FF" w:rsidP="00310F46">
      <w:pPr>
        <w:spacing w:after="20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Los casos estudiados demuestran que la soberanía no opera en la práctica como un principio universal, sino como un atributo cuyo ejercicio efectivo depende del posicionamiento geopolítico de cada Estado en la jerarquía del sistema internacional. Mientras Rusia puede invocar argumentos de seguridad para justificar acciones que violan la soberanía de Ucrania, e Israel puede actuar militarmente en Gaza y el Líbano con escasas consecuencias jurídicas internacionales.</w:t>
      </w:r>
    </w:p>
    <w:p w14:paraId="20C3772F" w14:textId="77777777" w:rsidR="00310F46" w:rsidRDefault="00310F46" w:rsidP="00310F46">
      <w:pPr>
        <w:pStyle w:val="NormalWeb"/>
        <w:spacing w:line="480" w:lineRule="auto"/>
        <w:ind w:firstLine="720"/>
      </w:pPr>
      <w:r>
        <w:t>Desde la óptica de la teoría de la dependencia, corriente de pensamiento impulsada por intelectuales latinoamericanos como Raúl Prebisch, Theotonio dos Santos y Fernando Henrique Cardoso, la soberanía estatal no puede analizarse únicamente desde su dimensión jurídica o formal. Aunque los Estados sean reconocidos como entidades soberanas dentro del sistema internacional, su capacidad real para ejercer control sobre los asuntos internos y definir autónomamente sus políticas públicas está profundamente influenciada por las relaciones de poder existentes en la economía mundial. Según este enfoque, los países latinoamericanos han ocupado históricamente una posición periférica dentro de una estructura internacional caracterizada por profundas desigualdades, en la que las naciones industrializadas concentran mayores recursos económicos, tecnológicos y financieros.</w:t>
      </w:r>
    </w:p>
    <w:p w14:paraId="05C00EFC" w14:textId="77777777" w:rsidR="00310F46" w:rsidRDefault="00310F46" w:rsidP="00310F46">
      <w:pPr>
        <w:pStyle w:val="NormalWeb"/>
        <w:spacing w:line="480" w:lineRule="auto"/>
        <w:ind w:firstLine="720"/>
      </w:pPr>
      <w:r>
        <w:t>En este contexto, la soberanía de los Estados de la región se ha visto condicionada por diversos mecanismos de dependencia que limitan su margen de acción y su capacidad para adoptar decisiones estratégicas de manera completamente autónoma. Factores como la necesidad de financiamiento externo, la dependencia tecnológica, la subordinación a mercados internacionales y la influencia de organismos económicos globales han generado restricciones que afectan el ejercicio efectivo de la soberanía. Desde esta perspectiva, las diferencias observadas en la capacidad de los Estados para proteger sus intereses nacionales y responder a los desafíos contemporáneos no constituyen situaciones aisladas o coyunturales, sino que reflejan la persistencia de una estructura internacional asimétrica.</w:t>
      </w:r>
    </w:p>
    <w:p w14:paraId="5BADBEF6" w14:textId="3F72891A" w:rsidR="00310F46" w:rsidRPr="007C5E6F" w:rsidRDefault="00310F46" w:rsidP="00310F46">
      <w:pPr>
        <w:pStyle w:val="NormalWeb"/>
        <w:spacing w:line="480" w:lineRule="auto"/>
        <w:ind w:firstLine="720"/>
      </w:pPr>
      <w:r>
        <w:t>Por consiguiente, la teoría de la dependencia permite interpretar las transformaciones actuales de la soberanía como el resultado de relaciones históricas de desigualdad que continúan moldeando el sistema internacional. Mientras los países ubicados en el centro del sistema cuentan con mayores posibilidades para influir en la formulación de normas, instituciones y dinámicas globales, los Estados periféricos enfrentan limitaciones estructurales que dificultan el ejercicio pleno de su autonomía política, económica y estratégica. Esta visión resulta especialmente útil para comprender los desafíos que enfrentan los países latinoamericanos en un escenario marcado por la globalización y la creciente interdependencia entre los actores internacionales.</w:t>
      </w:r>
    </w:p>
    <w:p w14:paraId="00000117" w14:textId="19065E6A" w:rsidR="00DD6724" w:rsidRPr="007C5E6F" w:rsidRDefault="0008355F" w:rsidP="00310F46">
      <w:pPr>
        <w:spacing w:after="200" w:line="480" w:lineRule="auto"/>
        <w:ind w:firstLine="720"/>
      </w:pPr>
      <w:r w:rsidRPr="007C5E6F">
        <w:rPr>
          <w:rFonts w:ascii="Times New Roman" w:eastAsia="Times New Roman" w:hAnsi="Times New Roman" w:cs="Times New Roman"/>
          <w:sz w:val="24"/>
          <w:szCs w:val="24"/>
        </w:rPr>
        <w:t>En c</w:t>
      </w:r>
      <w:r w:rsidR="005D20D8" w:rsidRPr="007C5E6F">
        <w:rPr>
          <w:rFonts w:ascii="Times New Roman" w:eastAsia="Times New Roman" w:hAnsi="Times New Roman" w:cs="Times New Roman"/>
          <w:sz w:val="24"/>
          <w:szCs w:val="24"/>
        </w:rPr>
        <w:t>o</w:t>
      </w:r>
      <w:r w:rsidRPr="007C5E6F">
        <w:rPr>
          <w:rFonts w:ascii="Times New Roman" w:eastAsia="Times New Roman" w:hAnsi="Times New Roman" w:cs="Times New Roman"/>
          <w:sz w:val="24"/>
          <w:szCs w:val="24"/>
        </w:rPr>
        <w:t>nclusión, la soberanía contemporánea no desaparece, sino que se reconfigura. Se transforma de un concepto de control absoluto a una capacidad estratégica de navegación en ecosistemas complejos y multipolares, donde la influencia se construye mediante múltiples capacidades: diplomáticas, económicas, tecnológicas y de soft power. Esta nueva realidad exige una comprensión dinámica y flexible de las relaciones internacionales, donde la soberanía se entiende como una cualidad adaptativa más que como un atributo rígido e inmodificable.</w:t>
      </w:r>
    </w:p>
    <w:p w14:paraId="00000118" w14:textId="77777777" w:rsidR="00DD6724" w:rsidRPr="007C5E6F" w:rsidRDefault="0008355F" w:rsidP="00310F46">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redefinición contemporánea de la soberanía se caracteriza por una profunda metamorfosis que desafía los principios tradicionales de integridad territorial y autonomía absoluta. Este nuevo paradigma se configura mediante una creciente porosidad de las fronteras, donde los límites geopolíticos se tornan cada vez más permeables a flujos económicos, culturales, tecnológicos y normativos.</w:t>
      </w:r>
    </w:p>
    <w:p w14:paraId="00000119" w14:textId="77777777" w:rsidR="00DD6724" w:rsidRPr="007C5E6F" w:rsidRDefault="0008355F" w:rsidP="00310F46">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soberanía ya no se concibe como un atributo monolítico e inmodificable, sino como un concepto dinámico y estratégico de negociación permanente. Los Estados modernos experimentan una cesión parcial de competencias a organismos internacionales, estableciendo marcos regulatorios compartidos que garantizan una gobernanza más compleja y multilateral.</w:t>
      </w:r>
    </w:p>
    <w:p w14:paraId="0000011A" w14:textId="77777777" w:rsidR="00DD6724" w:rsidRPr="007C5E6F" w:rsidRDefault="0008355F" w:rsidP="00310F46">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Para autores como Robert O. Keohane y Joseph S. Nye conocidos por su teoría “Interdependencia compleja”, que argumentan que los Estados y otros actores en el sistema internacional están conectados de múltiples maneras, dando como consecuencia la reducción de la utilidad de la fuerza militar y aumentando la importancia de la cooperación económica y política. El postulado de Keohane y su estudio del panorama internacional ha mutado hacia conceptos para entender los fenómenos mundiales y su dinámica después de los años noventa, como lo es la globalización y la gobernanza.</w:t>
      </w:r>
    </w:p>
    <w:p w14:paraId="0000011B"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Esta teoría explica como las relaciones internacionales se desarrollan más allá del realismo político, estando caracterizadas por la existencia de múltiples canales que conectan las sociedades, incluyendo relaciones interestatales, trans-gubernamentales y transnacionales, es decir, no solo los Estados interactúan entre sí, sino también existen relaciones multilaterales entre organizaciones no gubernamentales, empresas y otros actores.</w:t>
      </w:r>
    </w:p>
    <w:p w14:paraId="0000011C"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Otros autores como el mexicano José Luis Ayala Cordero, Doctor en Ciencias Políticas, “La construcción de las relaciones internacionales contemporáneas ha sido determinada en gran medida por la cooperación entre los Estados soberanos para dar solución a los problemas de la agenda global” (Ayala, 2014) esta transformación implica reconocer que la interdependencia no representa una amenaza, sino una oportunidad para construir arquitecturas institucionales más flexibles y adaptativas.</w:t>
      </w:r>
    </w:p>
    <w:p w14:paraId="0000011D"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contraste con los autores anteriores, tenemos a Robert Gilpin fue un destacado teórico de las relaciones internacionales y la economía política internacional, conocido por su enfoque realista y su crítica a la interdependencia compleja. En el panorama teórico de las relaciones internacionales, Gilpin representa una postura intermedia dentro del realismo, caracterizada por una aproximación más matizada que los enfoques tradicionales más ortodoxos. Mientras que corrientes liberales como las representadas por Keohane y Nye enfatizan la multiplicidad de actores y la importancia de instituciones más allá de los Estados, Gilpin mantiene una perspectiva más conservadora que sitúa a los Estados-nación en el centro de la dinámica internacional.</w:t>
      </w:r>
    </w:p>
    <w:p w14:paraId="0000011E"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Para Gilpin, los Estados conservan su rol protagónico como principales agentes en el escenario global, y sus cálculos estratégicos de seguridad continúan siendo el motor fundamental que orienta su comportamiento en el ámbito económico internacional. A diferencia de visiones más pluralistas que fragmentan el análisis entre múltiples actores, su enfoque reivindica la centralidad estatal, argumentando que las consideraciones de seguridad nacional siguen siendo el vector primordial que determina las decisiones y estrategias de los Estados.</w:t>
      </w:r>
    </w:p>
    <w:p w14:paraId="0000011F"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Esta postura lo ubica como un realista de corte flexible o "blando", que, sin abandonar el núcleo duro de la tradición realista, admite cierta complejidad en la interpretación de las dinámicas internacionales, pero sin ceder en el punto central: la preeminencia del Estado como actor fundamental.</w:t>
      </w:r>
    </w:p>
    <w:p w14:paraId="00000120"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Su teoría de la estabilidad hegemónica constituye un marco interpretativo fundamental en las relaciones internacionales que postula la necesidad de un poder dominante para garantizar el equilibrio y la gobernanza del sistema internacional. Desarrollada por teóricos como Charles Kindleberger, Robert Gilpin y Stephen Krasner, esta perspectiva argumenta que un Estado hegemónico actúa como un estabilizador sistémico capaz de establecer, mantener y regular las reglas del juego global, proveyendo bienes públicos, generando marcos de cooperación económica y política, y mitigando potenciales conflictos entre potencias secundarias.</w:t>
      </w:r>
    </w:p>
    <w:p w14:paraId="00000121"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Históricamente ilustrada por ciclos de dominación como el Imperio Británico en el siglo XIX y Estados Unidos después de la Segunda Guerra Mundial, la teoría explora cómo un poder hegemónico, caracterizado por su superioridad militar indiscutible, predominio económico global y capacidad de influencia político-cultural, estructura un orden internacional específico.</w:t>
      </w:r>
    </w:p>
    <w:p w14:paraId="00000122"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Esta configuración implica no solo el ejercicio de la fuerza, sino la capacidad de sostener instituciones, regular flujos comerciales y generar consensos que beneficien su proyecto geopolítico. Sin embargo, la teoría también reconoce la naturaleza dinámica de estos ciclos hegemónicos, estudiando sus fases de emergencia, consolidación, expansión y eventual declive, lo que permite comprender las transiciones de poder y las recomposiciones del orden global.</w:t>
      </w:r>
    </w:p>
    <w:p w14:paraId="00000123" w14:textId="15AA2498"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contexto contemporáneo, marcado por la multipolaridad y el ascenso de potencias como China, la teoría ofrece claves interpretativas para analizar las estrategias de proyección de poder, los procesos de reconfiguración geopolítica y los desafíos a los órdenes establecidos, aunque no está exenta de críticas que cuestionan su visión Estado céntrica y su capacidad para explicar la complejidad de las dinámicas internacionales actuales</w:t>
      </w:r>
      <w:r w:rsidR="00ED3472">
        <w:rPr>
          <w:rFonts w:ascii="Times New Roman" w:eastAsia="Times New Roman" w:hAnsi="Times New Roman" w:cs="Times New Roman"/>
          <w:sz w:val="24"/>
          <w:szCs w:val="24"/>
        </w:rPr>
        <w:t xml:space="preserve">, sumado a la asimetría de poder que propone la teoría de la dependencia y su </w:t>
      </w:r>
      <w:r w:rsidR="002320E2">
        <w:rPr>
          <w:rFonts w:ascii="Times New Roman" w:eastAsia="Times New Roman" w:hAnsi="Times New Roman" w:cs="Times New Roman"/>
          <w:sz w:val="24"/>
          <w:szCs w:val="24"/>
        </w:rPr>
        <w:t xml:space="preserve">impacto material en la soberanía de los estados periféricos. </w:t>
      </w:r>
    </w:p>
    <w:p w14:paraId="00000124" w14:textId="77777777" w:rsidR="00DD6724" w:rsidRPr="007C5E6F" w:rsidRDefault="0008355F" w:rsidP="004C1A95">
      <w:pPr>
        <w:pStyle w:val="Ttulo1"/>
        <w:spacing w:before="240" w:line="480" w:lineRule="auto"/>
        <w:rPr>
          <w:rFonts w:ascii="Times New Roman" w:eastAsia="Times New Roman" w:hAnsi="Times New Roman" w:cs="Times New Roman"/>
          <w:b/>
          <w:bCs/>
          <w:sz w:val="24"/>
          <w:szCs w:val="24"/>
        </w:rPr>
      </w:pPr>
      <w:bookmarkStart w:id="19" w:name="_kuu4xx3cs39c" w:colFirst="0" w:colLast="0"/>
      <w:bookmarkEnd w:id="19"/>
      <w:r w:rsidRPr="007C5E6F">
        <w:rPr>
          <w:rFonts w:ascii="Times New Roman" w:eastAsia="Times New Roman" w:hAnsi="Times New Roman" w:cs="Times New Roman"/>
          <w:b/>
          <w:bCs/>
          <w:sz w:val="24"/>
          <w:szCs w:val="24"/>
        </w:rPr>
        <w:t>Conclusión</w:t>
      </w:r>
    </w:p>
    <w:p w14:paraId="00000125"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concepto tradicional de soberanía como una barrera infranqueable frente a influencias externas ha evolucionado, adquiriendo mayor flexibilidad. Esta transformación ha modificado la percepción sobre el papel de la gobernanza y la estabilidad en la evaluación de la soberanía efectiva, tanto a nivel nacional como internacional. Resulta indispensable resaltar que la soberanía se redefine como la capacidad de participar estratégicamente en redes globales, de gestionar la complejidad internacional y de preservar simultáneamente la identidad nacional, más que como un ejercicio de control absoluto y aislamiento. Se transita entonces de un modelo de soberanía restrictiva a uno de soberanía cooperativa, donde la verdadera autonomía se mide por la capacidad de negociación e integración inteligente en ecosistemas transnacionales cada vez más interconectados.</w:t>
      </w:r>
    </w:p>
    <w:p w14:paraId="00000126"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la actualidad, las fronteras físicas han perdido relevancia frente al surgimiento de límites simbólicos y la creciente transnacionalidad. La noción de frontera ha pasado de ser una simple línea divisoria para convertirse en una zona de transición, cuya identidad y construcción social es tan singular como las de los Estados que conecta y separa.</w:t>
      </w:r>
    </w:p>
    <w:p w14:paraId="00000127"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el panorama geopolítico contemporáneo, la soberanía estatal ha experimentado una transformación profunda y multidimensional que desafía su concepción tradicional westfaliana. Las fronteras de la autonomía nacional se han vuelto cada vez más porosas, erosionadas por complejos fenómenos globales que van mucho más allá de las dinámicas de poder clásicas.</w:t>
      </w:r>
    </w:p>
    <w:p w14:paraId="00000128" w14:textId="6F8DD91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 xml:space="preserve">La globalización económica ha tejido una red de interdependencias que hace que los acontecimientos en un país puedan desencadenar inmediatamente consecuencias en otro, como quedó dramáticamente ilustrado durante la crisis financiera de 2008, donde la burbuja inmobiliaria </w:t>
      </w:r>
      <w:r w:rsidR="00ED3F79" w:rsidRPr="007C5E6F">
        <w:rPr>
          <w:rFonts w:ascii="Times New Roman" w:eastAsia="Times New Roman" w:hAnsi="Times New Roman" w:cs="Times New Roman"/>
          <w:sz w:val="24"/>
          <w:szCs w:val="24"/>
        </w:rPr>
        <w:t>estadounidense</w:t>
      </w:r>
      <w:r w:rsidRPr="007C5E6F">
        <w:rPr>
          <w:rFonts w:ascii="Times New Roman" w:eastAsia="Times New Roman" w:hAnsi="Times New Roman" w:cs="Times New Roman"/>
          <w:sz w:val="24"/>
          <w:szCs w:val="24"/>
        </w:rPr>
        <w:t xml:space="preserve"> provocó una recesión mundial.</w:t>
      </w:r>
    </w:p>
    <w:p w14:paraId="00000129"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Las organizaciones supranacionales como la Unión Europea, la ONU y la OTAN han desarrollado mecanismos que limitan directamente la capacidad de acción unilateral de los Estados, mediante sanciones económicas, intervenciones militares o marcos legales vinculantes que obligan a modificar políticas internas. Desafíos globales como el cambio climático, las pandemias, los flujos migratorios masivos y las amenazas del terrorismo y el crimen organizado han demostrado que ningún Estado puede resolver unilateralmente estos problemas, requiriendo necesariamente cooperación internacional.</w:t>
      </w:r>
    </w:p>
    <w:p w14:paraId="0000012A"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El concepto de derechos humanos ha añadido otra capa de complejidad, permitiendo intervenciones internacionales en casos de graves violaciones, lo que representa un desafío directo a la noción de soberanía absoluta. Ejemplos concretos como las sanciones contra Rusia tras la invasión de Ucrania o la disputa marítima entre Colombia y Nicaragua demuestran cómo instancias internacionales pueden redefinir efectivamente los límites territoriales y económicos de un Estado.</w:t>
      </w:r>
    </w:p>
    <w:p w14:paraId="0000012B"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Esta nueva realidad no significa la desaparición del Estado-nación, sino su metamorfosis hacia un modelo de soberanía más flexible, negociada y contextual. Los Estados siguen siendo actores fundamentales, pero operan en un sistema internacional donde la autonomía se ejerce mediante complejas estrategias de adaptación, colaboración y equilibrio de poder. La soberanía moderna se caracteriza menos por la capacidad de aislamiento y más por la habilidad de navegar eficientemente en redes globales de interdependencia, donde la legitimidad internacional se construye a través de la cooperación, el respeto a marcos legales compartidos y la capacidad de contribuir a soluciones globales. En este sentido, la soberanía del siglo XXI es un concepto dinámico que refleja la creciente interconexión del mundo contemporáneo, donde los límites nacionales se definen cada vez más por la capacidad de diálogo e integración que por la tradicional idea de control territorial absoluto.</w:t>
      </w:r>
    </w:p>
    <w:p w14:paraId="0000012C"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proximidad geográfica intensifica ciertas transformaciones locales y globales, mientras que la integración económica paradójicamente actúa como un factor de fragmentación. El choque entre la diversidad y la homogeneización se vuelve inevitable, al igual que la tensión creciente entre la asimilación de comunidades migrantes y los conceptos de pluriculturalidad, interculturalidad y multiculturalidad.</w:t>
      </w:r>
    </w:p>
    <w:p w14:paraId="0000012D"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La globalización, la interdependencia económica y el surgimiento de actores no estatales han redefinido los límites de la autonomía estatal, configurando un nuevo escenario donde los Estados ya no poseen el monopolio exclusivo del poder. Este proceso de metamorfosis se caracteriza por la creciente porosidad de las fronteras, donde corporaciones multinacionales, organizaciones no gubernamentales y movimientos sociales ejercen una influencia significativa que puede condicionar o incluso desafiar la soberanía nacional.</w:t>
      </w:r>
    </w:p>
    <w:p w14:paraId="0000012E" w14:textId="77777777" w:rsidR="00DD6724" w:rsidRPr="007C5E6F" w:rsidRDefault="0008355F" w:rsidP="004C1A95">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Desafíos globales como el cambio climático, las pandemias y las crisis migratorias han demostrado la necesidad de respuestas multilaterales y coordinadas que superan la capacidad de acción unilateral de un solo Estado. Teorías contemporáneas como la "Interdependencia compleja" de Keohane y Nye han destacado la importancia de la cooperación por sobre el poder militar tradicional, mientras que autores como Gilpin mantienen la relevancia central de los Estados en el sistema internacional.</w:t>
      </w:r>
    </w:p>
    <w:p w14:paraId="7EE95ED9" w14:textId="44965327" w:rsidR="00531E12" w:rsidRDefault="0008355F" w:rsidP="0088034B">
      <w:pPr>
        <w:spacing w:before="240" w:line="480" w:lineRule="auto"/>
        <w:ind w:firstLine="720"/>
        <w:rPr>
          <w:rFonts w:ascii="Times New Roman" w:eastAsia="Times New Roman" w:hAnsi="Times New Roman" w:cs="Times New Roman"/>
          <w:sz w:val="24"/>
          <w:szCs w:val="24"/>
        </w:rPr>
      </w:pPr>
      <w:r w:rsidRPr="007C5E6F">
        <w:rPr>
          <w:rFonts w:ascii="Times New Roman" w:eastAsia="Times New Roman" w:hAnsi="Times New Roman" w:cs="Times New Roman"/>
          <w:sz w:val="24"/>
          <w:szCs w:val="24"/>
        </w:rPr>
        <w:t>En este nuevo paradigma, la soberanía se entiende menos como un atributo rígido e inmodificable y más como una capacidad estratégica de navegación en ecosistemas complejos y multipolares, donde la influencia se construye mediante múltiples dimensiones: diplomáticas, económicas, tecnológicas y de soft power. Lejos de desaparecer, la soberanía se ha transformado en un concepto dinámico de negociación permanente, donde los Estados modernos ceden parcialmente competencias a organismos internacionales, estableciendo marcos regulatorios compartidos que garantizan una gobernanza más flexible, adaptativa e interdependiente.</w:t>
      </w:r>
    </w:p>
    <w:p w14:paraId="340C88DC" w14:textId="77777777" w:rsidR="00F2226F" w:rsidRDefault="00F2226F" w:rsidP="0088034B">
      <w:pPr>
        <w:spacing w:before="240" w:line="480" w:lineRule="auto"/>
        <w:ind w:firstLine="720"/>
        <w:rPr>
          <w:rFonts w:ascii="Times New Roman" w:eastAsia="Times New Roman" w:hAnsi="Times New Roman" w:cs="Times New Roman"/>
          <w:sz w:val="24"/>
          <w:szCs w:val="24"/>
        </w:rPr>
      </w:pPr>
    </w:p>
    <w:p w14:paraId="0FF156E6" w14:textId="77777777" w:rsidR="007576EA" w:rsidRDefault="007576EA" w:rsidP="00F277C7">
      <w:pPr>
        <w:pStyle w:val="Ttulo1"/>
        <w:spacing w:before="240" w:line="480" w:lineRule="auto"/>
        <w:ind w:left="720" w:hanging="720"/>
        <w:rPr>
          <w:rFonts w:ascii="Times New Roman" w:eastAsia="Times New Roman" w:hAnsi="Times New Roman" w:cs="Times New Roman"/>
          <w:b/>
          <w:bCs/>
          <w:sz w:val="24"/>
          <w:szCs w:val="24"/>
        </w:rPr>
      </w:pPr>
      <w:bookmarkStart w:id="20" w:name="_9f9j4im4zb4y" w:colFirst="0" w:colLast="0"/>
      <w:bookmarkEnd w:id="20"/>
    </w:p>
    <w:p w14:paraId="00000131" w14:textId="2278D0DC" w:rsidR="00DD6724" w:rsidRPr="007C5E6F" w:rsidRDefault="0008355F" w:rsidP="00F277C7">
      <w:pPr>
        <w:pStyle w:val="Ttulo1"/>
        <w:spacing w:before="240" w:line="480" w:lineRule="auto"/>
        <w:ind w:left="720" w:hanging="720"/>
        <w:rPr>
          <w:rFonts w:ascii="Times New Roman" w:eastAsia="Times New Roman" w:hAnsi="Times New Roman" w:cs="Times New Roman"/>
          <w:b/>
          <w:bCs/>
          <w:sz w:val="24"/>
          <w:szCs w:val="24"/>
        </w:rPr>
      </w:pPr>
      <w:r w:rsidRPr="007C5E6F">
        <w:rPr>
          <w:rFonts w:ascii="Times New Roman" w:eastAsia="Times New Roman" w:hAnsi="Times New Roman" w:cs="Times New Roman"/>
          <w:b/>
          <w:bCs/>
          <w:sz w:val="24"/>
          <w:szCs w:val="24"/>
        </w:rPr>
        <w:t xml:space="preserve">7. Referentes bibliográficos </w:t>
      </w:r>
    </w:p>
    <w:p w14:paraId="1C3EA347"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Amnistía Internacional. (2026). Los derechos humanos en Israel y el territorio palestino ocupado. https://www.amnesty.org/es/location/middle-east-and-north-africa/middle-east/israel-and-the-occupied-palestinian-territory/report-israel-and-the-occupied-palestinian-territory/</w:t>
      </w:r>
    </w:p>
    <w:p w14:paraId="2A0AA845" w14:textId="77777777" w:rsidR="0065549E" w:rsidRPr="007C5E6F" w:rsidRDefault="0065549E" w:rsidP="0065549E">
      <w:pPr>
        <w:spacing w:line="480" w:lineRule="auto"/>
        <w:ind w:left="720" w:hanging="720"/>
        <w:rPr>
          <w:rFonts w:ascii="Times New Roman" w:hAnsi="Times New Roman" w:cs="Times New Roman"/>
          <w:sz w:val="24"/>
          <w:szCs w:val="24"/>
        </w:rPr>
      </w:pPr>
      <w:r w:rsidRPr="00333331">
        <w:rPr>
          <w:rFonts w:ascii="Times New Roman" w:hAnsi="Times New Roman" w:cs="Times New Roman"/>
          <w:sz w:val="24"/>
          <w:szCs w:val="24"/>
          <w:lang w:val="en-US"/>
        </w:rPr>
        <w:t xml:space="preserve">Anderson, M. (1996). Frontiers: Territory and state formation in the modern world. </w:t>
      </w:r>
      <w:r w:rsidRPr="007C5E6F">
        <w:rPr>
          <w:rFonts w:ascii="Times New Roman" w:hAnsi="Times New Roman" w:cs="Times New Roman"/>
          <w:sz w:val="24"/>
          <w:szCs w:val="24"/>
        </w:rPr>
        <w:t>Polity Press.</w:t>
      </w:r>
    </w:p>
    <w:p w14:paraId="75E631DC"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Arbuet-Vignali, H., y Barrios, L. (2001). El Estado, la soberanía y el marco internacional. Revista de la Facultad de Derecho, n.° 20, Universidad de la República, Montevideo. http://revista.fder.edu.uy/index.php/rfd/article/view/218</w:t>
      </w:r>
    </w:p>
    <w:p w14:paraId="1B13BA1D"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Aristóteles. (1978). La Política (13.ª ed.). Espasa Calpe.</w:t>
      </w:r>
    </w:p>
    <w:p w14:paraId="5ED7A14E"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Ayala Cordero, J. L. (2014). La construcción de las relaciones internacionales contemporáneas. Ciencias Políticas.</w:t>
      </w:r>
    </w:p>
    <w:p w14:paraId="11542513"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Ayala, J. (2014). Interdependencia compleja: Cuatro enfoques teóricos de la cooperación internacional de los gobiernos subnacionales. Revista de El Colegio de San Luis, 4(7), 256-273. http://www.scielo.org.mx/scielo.php?script=sci_arttext&amp;pid=S1665-899X2014000100012&amp;lng=es&amp;tlng=es</w:t>
      </w:r>
    </w:p>
    <w:p w14:paraId="641F076B" w14:textId="71D271AF"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Bauman, Z. (2001). Globali</w:t>
      </w:r>
      <w:r w:rsidR="007C5E6F" w:rsidRPr="007C5E6F">
        <w:rPr>
          <w:rFonts w:ascii="Times New Roman" w:hAnsi="Times New Roman" w:cs="Times New Roman"/>
          <w:sz w:val="24"/>
          <w:szCs w:val="24"/>
        </w:rPr>
        <w:t>zación</w:t>
      </w:r>
      <w:r w:rsidRPr="007C5E6F">
        <w:rPr>
          <w:rFonts w:ascii="Times New Roman" w:hAnsi="Times New Roman" w:cs="Times New Roman"/>
          <w:sz w:val="24"/>
          <w:szCs w:val="24"/>
        </w:rPr>
        <w:t xml:space="preserve">: </w:t>
      </w:r>
      <w:r w:rsidR="007C5E6F">
        <w:rPr>
          <w:rFonts w:ascii="Times New Roman" w:hAnsi="Times New Roman" w:cs="Times New Roman"/>
          <w:sz w:val="24"/>
          <w:szCs w:val="24"/>
        </w:rPr>
        <w:t>Las consecuencias humanas</w:t>
      </w:r>
      <w:r w:rsidRPr="007C5E6F">
        <w:rPr>
          <w:rFonts w:ascii="Times New Roman" w:hAnsi="Times New Roman" w:cs="Times New Roman"/>
          <w:sz w:val="24"/>
          <w:szCs w:val="24"/>
        </w:rPr>
        <w:t>. Fondo de Cultura Económica de España.</w:t>
      </w:r>
    </w:p>
    <w:p w14:paraId="7C748861"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Bodin, J. (1997). Los seis libros de la república (P. Bravo Gala, Trad.; 3.ª ed.). Tecnos. (Obra original publicada en 1576).</w:t>
      </w:r>
    </w:p>
    <w:p w14:paraId="1DA0F1AB" w14:textId="77777777" w:rsidR="0065549E" w:rsidRPr="00333331" w:rsidRDefault="0065549E" w:rsidP="0065549E">
      <w:pPr>
        <w:spacing w:line="480" w:lineRule="auto"/>
        <w:ind w:left="720" w:hanging="720"/>
        <w:rPr>
          <w:rFonts w:ascii="Times New Roman" w:hAnsi="Times New Roman" w:cs="Times New Roman"/>
          <w:sz w:val="24"/>
          <w:szCs w:val="24"/>
          <w:lang w:val="en-US"/>
        </w:rPr>
      </w:pPr>
      <w:r w:rsidRPr="007C5E6F">
        <w:rPr>
          <w:rFonts w:ascii="Times New Roman" w:hAnsi="Times New Roman" w:cs="Times New Roman"/>
          <w:sz w:val="24"/>
          <w:szCs w:val="24"/>
        </w:rPr>
        <w:t xml:space="preserve">Cardoso, F. H., y Faletto, E. (1969). Dependencia y desarrollo en América Latina: ensayo de interpretación sociológica. </w:t>
      </w:r>
      <w:r w:rsidRPr="00333331">
        <w:rPr>
          <w:rFonts w:ascii="Times New Roman" w:hAnsi="Times New Roman" w:cs="Times New Roman"/>
          <w:sz w:val="24"/>
          <w:szCs w:val="24"/>
          <w:lang w:val="en-US"/>
        </w:rPr>
        <w:t>Siglo XXI Editores.</w:t>
      </w:r>
    </w:p>
    <w:p w14:paraId="4263ED7C" w14:textId="77777777" w:rsidR="0065549E" w:rsidRPr="00333331" w:rsidRDefault="0065549E" w:rsidP="0065549E">
      <w:pPr>
        <w:spacing w:line="480" w:lineRule="auto"/>
        <w:ind w:left="720" w:hanging="720"/>
        <w:rPr>
          <w:rFonts w:ascii="Times New Roman" w:hAnsi="Times New Roman" w:cs="Times New Roman"/>
          <w:sz w:val="24"/>
          <w:szCs w:val="24"/>
          <w:lang w:val="en-US"/>
        </w:rPr>
      </w:pPr>
      <w:r w:rsidRPr="00333331">
        <w:rPr>
          <w:rFonts w:ascii="Times New Roman" w:hAnsi="Times New Roman" w:cs="Times New Roman"/>
          <w:sz w:val="24"/>
          <w:szCs w:val="24"/>
          <w:lang w:val="en-US"/>
        </w:rPr>
        <w:t>Castells, M. (2009). Communication power. Oxford University Press.</w:t>
      </w:r>
    </w:p>
    <w:p w14:paraId="0E9A8903"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Consejo Europeo. (2026, 19 de marzo). Consejo Europeo, 19 de marzo de 2026: Ucrania. https://www.consilium.europa.eu/es/press/press-releases/2026/03/19/european-council-19-march-2026-ukraine/</w:t>
      </w:r>
    </w:p>
    <w:p w14:paraId="5986FF32"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Constitución Política de Colombia. (1991). Disponible en https://www.constitucioncolombia.com</w:t>
      </w:r>
    </w:p>
    <w:p w14:paraId="2AF90977"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Corte Constitucional de Colombia. Sentencia C-249/04. M.P. Jaime Araújo Rentería.</w:t>
      </w:r>
    </w:p>
    <w:p w14:paraId="1B7E61C2"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Dos Santos, T. (2002). La teoría de la dependencia: balance y perspectivas. Plaza y Janés.</w:t>
      </w:r>
    </w:p>
    <w:p w14:paraId="5A78FFBB"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Fajardo, D. (2015). Territorios, globalización y paz. Editorial Universidad Nacional de Colombia.</w:t>
      </w:r>
    </w:p>
    <w:p w14:paraId="6EF781DF"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Ferrero-Turrión, R. (2026). Ucrania 2026: desgaste, negociación y reconfiguración del orden europeo. Agenda Pública. https://agendapublica.es/noticia/20887/ucrania-2026-guerra-entra-fase-desgaste</w:t>
      </w:r>
    </w:p>
    <w:p w14:paraId="283E3928"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Foucault, M. (1981). Un diálogo sobre el poder. Alianza Editorial.</w:t>
      </w:r>
    </w:p>
    <w:p w14:paraId="762371CB"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Foucault, M. (1988). El sujeto y el poder. Revista Mexicana de Sociología, 50(3), 3–21.</w:t>
      </w:r>
    </w:p>
    <w:p w14:paraId="48D176C6"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Foucault, M. (1991). El sujeto y el poder. En H. Dreyfus y P. Rabinow (Eds.), Michel Foucault: Más allá del estructuralismo y la hermenéutica. Universidad Nacional Autónoma de México.</w:t>
      </w:r>
    </w:p>
    <w:p w14:paraId="26C677DA" w14:textId="77777777" w:rsidR="0065549E" w:rsidRPr="00333331" w:rsidRDefault="0065549E" w:rsidP="0065549E">
      <w:pPr>
        <w:spacing w:line="480" w:lineRule="auto"/>
        <w:ind w:left="720" w:hanging="720"/>
        <w:rPr>
          <w:rFonts w:ascii="Times New Roman" w:hAnsi="Times New Roman" w:cs="Times New Roman"/>
          <w:sz w:val="24"/>
          <w:szCs w:val="24"/>
          <w:lang w:val="en-US"/>
        </w:rPr>
      </w:pPr>
      <w:r w:rsidRPr="007C5E6F">
        <w:rPr>
          <w:rFonts w:ascii="Times New Roman" w:hAnsi="Times New Roman" w:cs="Times New Roman"/>
          <w:sz w:val="24"/>
          <w:szCs w:val="24"/>
        </w:rPr>
        <w:t xml:space="preserve">Giddens, A. (1990). Las consecuencias de la modernidad. </w:t>
      </w:r>
      <w:r w:rsidRPr="00333331">
        <w:rPr>
          <w:rFonts w:ascii="Times New Roman" w:hAnsi="Times New Roman" w:cs="Times New Roman"/>
          <w:sz w:val="24"/>
          <w:szCs w:val="24"/>
          <w:lang w:val="en-US"/>
        </w:rPr>
        <w:t>Alianza Editorial.</w:t>
      </w:r>
    </w:p>
    <w:p w14:paraId="26F0AB95" w14:textId="77777777" w:rsidR="0065549E" w:rsidRPr="00333331" w:rsidRDefault="0065549E" w:rsidP="0065549E">
      <w:pPr>
        <w:spacing w:line="480" w:lineRule="auto"/>
        <w:ind w:left="720" w:hanging="720"/>
        <w:rPr>
          <w:rFonts w:ascii="Times New Roman" w:hAnsi="Times New Roman" w:cs="Times New Roman"/>
          <w:sz w:val="24"/>
          <w:szCs w:val="24"/>
          <w:lang w:val="en-US"/>
        </w:rPr>
      </w:pPr>
      <w:r w:rsidRPr="00333331">
        <w:rPr>
          <w:rFonts w:ascii="Times New Roman" w:hAnsi="Times New Roman" w:cs="Times New Roman"/>
          <w:sz w:val="24"/>
          <w:szCs w:val="24"/>
          <w:lang w:val="en-US"/>
        </w:rPr>
        <w:t>Gilpin, R. (1981). War and Change in World Politics. Cambridge University Press.</w:t>
      </w:r>
    </w:p>
    <w:p w14:paraId="79F32E3E" w14:textId="77777777" w:rsidR="0065549E" w:rsidRPr="00333331" w:rsidRDefault="0065549E" w:rsidP="0065549E">
      <w:pPr>
        <w:spacing w:line="480" w:lineRule="auto"/>
        <w:ind w:left="720" w:hanging="720"/>
        <w:rPr>
          <w:rFonts w:ascii="Times New Roman" w:hAnsi="Times New Roman" w:cs="Times New Roman"/>
          <w:sz w:val="24"/>
          <w:szCs w:val="24"/>
          <w:lang w:val="en-US"/>
        </w:rPr>
      </w:pPr>
      <w:r w:rsidRPr="00333331">
        <w:rPr>
          <w:rFonts w:ascii="Times New Roman" w:hAnsi="Times New Roman" w:cs="Times New Roman"/>
          <w:sz w:val="24"/>
          <w:szCs w:val="24"/>
          <w:lang w:val="en-US"/>
        </w:rPr>
        <w:t>Gilpin, R. (2001). Global Political Economy. Princeton University Press.</w:t>
      </w:r>
    </w:p>
    <w:p w14:paraId="01420CCB"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Gramsci, A. (1975). Cuadernos de la cárcel (M. Muñoz, Trad., Vol. 3). Era.</w:t>
      </w:r>
    </w:p>
    <w:p w14:paraId="5DF17C6B"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Held, D. (1997). La democracia y el orden global. Paidós.</w:t>
      </w:r>
    </w:p>
    <w:p w14:paraId="143F0950" w14:textId="77777777" w:rsidR="0065549E" w:rsidRPr="00333331" w:rsidRDefault="0065549E" w:rsidP="0065549E">
      <w:pPr>
        <w:spacing w:line="480" w:lineRule="auto"/>
        <w:ind w:left="720" w:hanging="720"/>
        <w:rPr>
          <w:rFonts w:ascii="Times New Roman" w:hAnsi="Times New Roman" w:cs="Times New Roman"/>
          <w:sz w:val="24"/>
          <w:szCs w:val="24"/>
          <w:lang w:val="en-US"/>
        </w:rPr>
      </w:pPr>
      <w:r w:rsidRPr="00333331">
        <w:rPr>
          <w:rFonts w:ascii="Times New Roman" w:hAnsi="Times New Roman" w:cs="Times New Roman"/>
          <w:sz w:val="24"/>
          <w:szCs w:val="24"/>
          <w:lang w:val="en-US"/>
        </w:rPr>
        <w:t>Held, D., y McGrew, A. (1999). Global Transformations: Politics, Economics and Culture. Stanford University Press.</w:t>
      </w:r>
    </w:p>
    <w:p w14:paraId="51550B57" w14:textId="77777777" w:rsidR="0065549E" w:rsidRPr="000759BE" w:rsidRDefault="0065549E" w:rsidP="0065549E">
      <w:pPr>
        <w:spacing w:line="480" w:lineRule="auto"/>
        <w:ind w:left="720" w:hanging="720"/>
        <w:rPr>
          <w:rFonts w:ascii="Times New Roman" w:hAnsi="Times New Roman" w:cs="Times New Roman"/>
          <w:sz w:val="24"/>
          <w:szCs w:val="24"/>
          <w:lang w:val="en-US"/>
        </w:rPr>
      </w:pPr>
      <w:r w:rsidRPr="00333331">
        <w:rPr>
          <w:rFonts w:ascii="Times New Roman" w:hAnsi="Times New Roman" w:cs="Times New Roman"/>
          <w:sz w:val="24"/>
          <w:szCs w:val="24"/>
          <w:lang w:val="en-US"/>
        </w:rPr>
        <w:t xml:space="preserve">Held, D., y McGrew, A. (2007). Globalization/Anti-Globalization: Beyond the Great Divide (2nd ed.). </w:t>
      </w:r>
      <w:r w:rsidRPr="000759BE">
        <w:rPr>
          <w:rFonts w:ascii="Times New Roman" w:hAnsi="Times New Roman" w:cs="Times New Roman"/>
          <w:sz w:val="24"/>
          <w:szCs w:val="24"/>
          <w:lang w:val="en-US"/>
        </w:rPr>
        <w:t>Polity Press.</w:t>
      </w:r>
    </w:p>
    <w:p w14:paraId="28D09669" w14:textId="77777777" w:rsidR="0065549E" w:rsidRPr="007C5E6F" w:rsidRDefault="0065549E" w:rsidP="0065549E">
      <w:pPr>
        <w:spacing w:line="480" w:lineRule="auto"/>
        <w:ind w:left="720" w:hanging="720"/>
        <w:rPr>
          <w:rFonts w:ascii="Times New Roman" w:hAnsi="Times New Roman" w:cs="Times New Roman"/>
          <w:sz w:val="24"/>
          <w:szCs w:val="24"/>
        </w:rPr>
      </w:pPr>
      <w:r w:rsidRPr="00333331">
        <w:rPr>
          <w:rFonts w:ascii="Times New Roman" w:hAnsi="Times New Roman" w:cs="Times New Roman"/>
          <w:sz w:val="24"/>
          <w:szCs w:val="24"/>
          <w:lang w:val="en-US"/>
        </w:rPr>
        <w:t xml:space="preserve">Hirst, P., y Thompson, G. (1996). Globalization in Question: The International Economy and the Possibilities of Governance. </w:t>
      </w:r>
      <w:r w:rsidRPr="007C5E6F">
        <w:rPr>
          <w:rFonts w:ascii="Times New Roman" w:hAnsi="Times New Roman" w:cs="Times New Roman"/>
          <w:sz w:val="24"/>
          <w:szCs w:val="24"/>
        </w:rPr>
        <w:t>Polity Press.</w:t>
      </w:r>
    </w:p>
    <w:p w14:paraId="6527024C" w14:textId="77777777" w:rsidR="0065549E" w:rsidRPr="00333331" w:rsidRDefault="0065549E" w:rsidP="0065549E">
      <w:pPr>
        <w:spacing w:line="480" w:lineRule="auto"/>
        <w:ind w:left="720" w:hanging="720"/>
        <w:rPr>
          <w:rFonts w:ascii="Times New Roman" w:hAnsi="Times New Roman" w:cs="Times New Roman"/>
          <w:sz w:val="24"/>
          <w:szCs w:val="24"/>
          <w:lang w:val="en-US"/>
        </w:rPr>
      </w:pPr>
      <w:r w:rsidRPr="007C5E6F">
        <w:rPr>
          <w:rFonts w:ascii="Times New Roman" w:hAnsi="Times New Roman" w:cs="Times New Roman"/>
          <w:sz w:val="24"/>
          <w:szCs w:val="24"/>
        </w:rPr>
        <w:t xml:space="preserve">Hobbes, T. (1980). Leviatán (M. Sánchez Sarto, Trad.). Fondo de Cultura Económica. </w:t>
      </w:r>
      <w:r w:rsidRPr="00333331">
        <w:rPr>
          <w:rFonts w:ascii="Times New Roman" w:hAnsi="Times New Roman" w:cs="Times New Roman"/>
          <w:sz w:val="24"/>
          <w:szCs w:val="24"/>
          <w:lang w:val="en-US"/>
        </w:rPr>
        <w:t>(Obra original publicada en 1651).</w:t>
      </w:r>
    </w:p>
    <w:p w14:paraId="24901ABE" w14:textId="77777777" w:rsidR="0065549E" w:rsidRPr="00333331" w:rsidRDefault="0065549E" w:rsidP="0065549E">
      <w:pPr>
        <w:spacing w:line="480" w:lineRule="auto"/>
        <w:ind w:left="720" w:hanging="720"/>
        <w:rPr>
          <w:rFonts w:ascii="Times New Roman" w:hAnsi="Times New Roman" w:cs="Times New Roman"/>
          <w:sz w:val="24"/>
          <w:szCs w:val="24"/>
          <w:lang w:val="en-US"/>
        </w:rPr>
      </w:pPr>
      <w:r w:rsidRPr="00333331">
        <w:rPr>
          <w:rFonts w:ascii="Times New Roman" w:hAnsi="Times New Roman" w:cs="Times New Roman"/>
          <w:sz w:val="24"/>
          <w:szCs w:val="24"/>
          <w:lang w:val="en-US"/>
        </w:rPr>
        <w:t>Keohane, R. O. (1989). After Hegemony: Cooperation and Discord in the World Political Economy. Princeton University Press.</w:t>
      </w:r>
    </w:p>
    <w:p w14:paraId="475EAB89" w14:textId="77777777" w:rsidR="0065549E" w:rsidRPr="00333331" w:rsidRDefault="0065549E" w:rsidP="0065549E">
      <w:pPr>
        <w:spacing w:line="480" w:lineRule="auto"/>
        <w:ind w:left="720" w:hanging="720"/>
        <w:rPr>
          <w:rFonts w:ascii="Times New Roman" w:hAnsi="Times New Roman" w:cs="Times New Roman"/>
          <w:sz w:val="24"/>
          <w:szCs w:val="24"/>
          <w:lang w:val="en-US"/>
        </w:rPr>
      </w:pPr>
      <w:r w:rsidRPr="00333331">
        <w:rPr>
          <w:rFonts w:ascii="Times New Roman" w:hAnsi="Times New Roman" w:cs="Times New Roman"/>
          <w:sz w:val="24"/>
          <w:szCs w:val="24"/>
          <w:lang w:val="en-US"/>
        </w:rPr>
        <w:t>Keohane, R. O. (2001). Governance in a partially globalized world. The American Political Science Review, 95(1), 1–13.</w:t>
      </w:r>
    </w:p>
    <w:p w14:paraId="15E78FAC" w14:textId="77777777" w:rsidR="0065549E" w:rsidRPr="00333331" w:rsidRDefault="0065549E" w:rsidP="0065549E">
      <w:pPr>
        <w:spacing w:line="480" w:lineRule="auto"/>
        <w:ind w:left="720" w:hanging="720"/>
        <w:rPr>
          <w:rFonts w:ascii="Times New Roman" w:hAnsi="Times New Roman" w:cs="Times New Roman"/>
          <w:sz w:val="24"/>
          <w:szCs w:val="24"/>
          <w:lang w:val="en-US"/>
        </w:rPr>
      </w:pPr>
      <w:r w:rsidRPr="00333331">
        <w:rPr>
          <w:rFonts w:ascii="Times New Roman" w:hAnsi="Times New Roman" w:cs="Times New Roman"/>
          <w:sz w:val="24"/>
          <w:szCs w:val="24"/>
          <w:lang w:val="en-US"/>
        </w:rPr>
        <w:t>Keohane, R. O., y Nye, J. S. (1977). Power and Interdependence: World Politics in Transition. Little, Brown.</w:t>
      </w:r>
    </w:p>
    <w:p w14:paraId="6F7F7859" w14:textId="77777777" w:rsidR="0065549E" w:rsidRPr="00333331" w:rsidRDefault="0065549E" w:rsidP="0065549E">
      <w:pPr>
        <w:spacing w:line="480" w:lineRule="auto"/>
        <w:ind w:left="720" w:hanging="720"/>
        <w:rPr>
          <w:rFonts w:ascii="Times New Roman" w:hAnsi="Times New Roman" w:cs="Times New Roman"/>
          <w:sz w:val="24"/>
          <w:szCs w:val="24"/>
          <w:lang w:val="en-US"/>
        </w:rPr>
      </w:pPr>
      <w:r w:rsidRPr="00333331">
        <w:rPr>
          <w:rFonts w:ascii="Times New Roman" w:hAnsi="Times New Roman" w:cs="Times New Roman"/>
          <w:sz w:val="24"/>
          <w:szCs w:val="24"/>
          <w:lang w:val="en-US"/>
        </w:rPr>
        <w:t>Keohane, R. O., y Nye, J. S. Jr. (2012). Power and Interdependence (4th ed.). Longman.</w:t>
      </w:r>
    </w:p>
    <w:p w14:paraId="0838D763" w14:textId="77777777" w:rsidR="0065549E" w:rsidRPr="00333331" w:rsidRDefault="0065549E" w:rsidP="0065549E">
      <w:pPr>
        <w:spacing w:line="480" w:lineRule="auto"/>
        <w:ind w:left="720" w:hanging="720"/>
        <w:rPr>
          <w:rFonts w:ascii="Times New Roman" w:hAnsi="Times New Roman" w:cs="Times New Roman"/>
          <w:sz w:val="24"/>
          <w:szCs w:val="24"/>
          <w:lang w:val="en-US"/>
        </w:rPr>
      </w:pPr>
      <w:r w:rsidRPr="00333331">
        <w:rPr>
          <w:rFonts w:ascii="Times New Roman" w:hAnsi="Times New Roman" w:cs="Times New Roman"/>
          <w:sz w:val="24"/>
          <w:szCs w:val="24"/>
          <w:lang w:val="en-US"/>
        </w:rPr>
        <w:t>Krasner, S. D. (1988). Sovereignty: An institutional perspective. Comparative Political Studies, 21(1), 66–94.</w:t>
      </w:r>
    </w:p>
    <w:p w14:paraId="07AB978F" w14:textId="77777777" w:rsidR="0065549E" w:rsidRPr="000759BE" w:rsidRDefault="0065549E" w:rsidP="0065549E">
      <w:pPr>
        <w:spacing w:line="480" w:lineRule="auto"/>
        <w:ind w:left="720" w:hanging="720"/>
        <w:rPr>
          <w:rFonts w:ascii="Times New Roman" w:hAnsi="Times New Roman" w:cs="Times New Roman"/>
          <w:sz w:val="24"/>
          <w:szCs w:val="24"/>
        </w:rPr>
      </w:pPr>
      <w:r w:rsidRPr="00333331">
        <w:rPr>
          <w:rFonts w:ascii="Times New Roman" w:hAnsi="Times New Roman" w:cs="Times New Roman"/>
          <w:sz w:val="24"/>
          <w:szCs w:val="24"/>
          <w:lang w:val="en-US"/>
        </w:rPr>
        <w:t xml:space="preserve">Krasner, S. D. (1999). Sovereignty: Organized Hypocrisy. </w:t>
      </w:r>
      <w:r w:rsidRPr="000759BE">
        <w:rPr>
          <w:rFonts w:ascii="Times New Roman" w:hAnsi="Times New Roman" w:cs="Times New Roman"/>
          <w:sz w:val="24"/>
          <w:szCs w:val="24"/>
        </w:rPr>
        <w:t>Princeton University Press.</w:t>
      </w:r>
    </w:p>
    <w:p w14:paraId="61FFF167"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La Jornada. (2026, 26 de mayo). Netanyahu ordena elevar la presión en el Líbano; promete aplastar a Hezbollah. https://www.jornada.com.mx/2026/05/26/mundo/019n1mun</w:t>
      </w:r>
    </w:p>
    <w:p w14:paraId="32DCD6EF"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Locke, J. (2005). Segundo tratado sobre el gobierno civil. Alianza Editorial.</w:t>
      </w:r>
    </w:p>
    <w:p w14:paraId="5D2E527C"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Maquiavelo, N. (2010). El príncipe. Alianza Editorial.</w:t>
      </w:r>
    </w:p>
    <w:p w14:paraId="551F39B6"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Marini, R. M. (1996). Proceso y tendencias de la globalización capitalista. En R. M. Marini y M. Millán (Coords.), La teoría social latinoamericana: cuestiones contemporáneas (Vol. 4, pp. 49–68). UNAM.</w:t>
      </w:r>
    </w:p>
    <w:p w14:paraId="29F5CCB7"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Mayz-Vallenilla, E. (1982). El dominio del poder. Fondo Editorial de Humanidades y Educación.</w:t>
      </w:r>
    </w:p>
    <w:p w14:paraId="55BB5AE7"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Movement Law Lab. (2025). Siete perspectivas sobre el derecho internacional y la liberación palestina. https://www.movementlawlab.org/blog/siete-perspectiva</w:t>
      </w:r>
    </w:p>
    <w:p w14:paraId="4D7E5615"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Núñez Villaverde, J. A. (2026, 10 de marzo). Israel trata de rematar la tarea en el Líbano. Real Instituto Elcano. https://www.realinstitutoelcano.org/comentarios/israel-trata-de-rematar-la-tarea-en-el-libano/</w:t>
      </w:r>
    </w:p>
    <w:p w14:paraId="02B93322" w14:textId="77777777" w:rsidR="0065549E" w:rsidRPr="007C5E6F" w:rsidRDefault="0065549E" w:rsidP="0065549E">
      <w:pPr>
        <w:spacing w:line="480" w:lineRule="auto"/>
        <w:ind w:left="720" w:hanging="720"/>
        <w:rPr>
          <w:rFonts w:ascii="Times New Roman" w:hAnsi="Times New Roman" w:cs="Times New Roman"/>
          <w:sz w:val="24"/>
          <w:szCs w:val="24"/>
        </w:rPr>
      </w:pPr>
      <w:r w:rsidRPr="00333331">
        <w:rPr>
          <w:rFonts w:ascii="Times New Roman" w:hAnsi="Times New Roman" w:cs="Times New Roman"/>
          <w:sz w:val="24"/>
          <w:szCs w:val="24"/>
          <w:lang w:val="en-US"/>
        </w:rPr>
        <w:t xml:space="preserve">Nye, J. S. (2004). Soft Power: The Means to Success in World Politics. </w:t>
      </w:r>
      <w:r w:rsidRPr="007C5E6F">
        <w:rPr>
          <w:rFonts w:ascii="Times New Roman" w:hAnsi="Times New Roman" w:cs="Times New Roman"/>
          <w:sz w:val="24"/>
          <w:szCs w:val="24"/>
        </w:rPr>
        <w:t>PublicAffairs.</w:t>
      </w:r>
    </w:p>
    <w:p w14:paraId="15EB481E"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Pinzón, C. (1839). Tratado de ciencia constitucional. Nicolás Gómez.</w:t>
      </w:r>
    </w:p>
    <w:p w14:paraId="7E3A532E"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Ratzel, F. (1897). Geografía política. R. Oldenbourg.</w:t>
      </w:r>
    </w:p>
    <w:p w14:paraId="1E9609F8"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Rousseau, J.-J. (2003). El contrato social. Alianza Editorial.</w:t>
      </w:r>
    </w:p>
    <w:p w14:paraId="7D09251D"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Santos, B. de S. (2002). La globalización del derecho: Los nuevos caminos de la regulación y la emancipación. Universidad Nacional de Colombia.</w:t>
      </w:r>
    </w:p>
    <w:p w14:paraId="30D59F59" w14:textId="77777777" w:rsidR="0065549E" w:rsidRPr="007C5E6F" w:rsidRDefault="0065549E" w:rsidP="0065549E">
      <w:pPr>
        <w:spacing w:line="480" w:lineRule="auto"/>
        <w:ind w:left="720" w:hanging="720"/>
        <w:rPr>
          <w:rFonts w:ascii="Times New Roman" w:hAnsi="Times New Roman" w:cs="Times New Roman"/>
          <w:sz w:val="24"/>
          <w:szCs w:val="24"/>
        </w:rPr>
      </w:pPr>
      <w:r w:rsidRPr="007C5E6F">
        <w:rPr>
          <w:rFonts w:ascii="Times New Roman" w:hAnsi="Times New Roman" w:cs="Times New Roman"/>
          <w:sz w:val="24"/>
          <w:szCs w:val="24"/>
        </w:rPr>
        <w:t>Weber, M. (1996). La política como vocación (F. Rubio Llorente, Trad.). Alianza Editorial.</w:t>
      </w:r>
    </w:p>
    <w:p w14:paraId="0E4EE071" w14:textId="77777777" w:rsidR="0065549E" w:rsidRPr="00333331" w:rsidRDefault="0065549E" w:rsidP="0065549E">
      <w:pPr>
        <w:spacing w:line="480" w:lineRule="auto"/>
        <w:ind w:left="720" w:hanging="720"/>
        <w:rPr>
          <w:rFonts w:ascii="Times New Roman" w:hAnsi="Times New Roman" w:cs="Times New Roman"/>
          <w:sz w:val="24"/>
          <w:szCs w:val="24"/>
          <w:lang w:val="en-US"/>
        </w:rPr>
      </w:pPr>
      <w:r w:rsidRPr="007C5E6F">
        <w:rPr>
          <w:rFonts w:ascii="Times New Roman" w:hAnsi="Times New Roman" w:cs="Times New Roman"/>
          <w:sz w:val="24"/>
          <w:szCs w:val="24"/>
        </w:rPr>
        <w:t xml:space="preserve">Weber, M. (2002). Economía y sociedad (J. Medina Echavarría et al., Trads.). </w:t>
      </w:r>
      <w:r w:rsidRPr="00333331">
        <w:rPr>
          <w:rFonts w:ascii="Times New Roman" w:hAnsi="Times New Roman" w:cs="Times New Roman"/>
          <w:sz w:val="24"/>
          <w:szCs w:val="24"/>
          <w:lang w:val="en-US"/>
        </w:rPr>
        <w:t>Fondo de Cultura Económica.</w:t>
      </w:r>
    </w:p>
    <w:p w14:paraId="0000015A" w14:textId="030510FE" w:rsidR="00DD6724" w:rsidRPr="00D917A5" w:rsidRDefault="0065549E" w:rsidP="0065549E">
      <w:pPr>
        <w:spacing w:line="480" w:lineRule="auto"/>
        <w:ind w:left="720" w:hanging="720"/>
        <w:rPr>
          <w:rFonts w:ascii="Times New Roman" w:hAnsi="Times New Roman" w:cs="Times New Roman"/>
          <w:sz w:val="24"/>
          <w:szCs w:val="24"/>
        </w:rPr>
      </w:pPr>
      <w:r w:rsidRPr="00333331">
        <w:rPr>
          <w:rFonts w:ascii="Times New Roman" w:hAnsi="Times New Roman" w:cs="Times New Roman"/>
          <w:sz w:val="24"/>
          <w:szCs w:val="24"/>
          <w:lang w:val="en-US"/>
        </w:rPr>
        <w:t xml:space="preserve">Zuboff, S. (2019). The Age of Surveillance Capitalism: The Fight for a Human Future at the New Frontier of Power. </w:t>
      </w:r>
      <w:r w:rsidRPr="007C5E6F">
        <w:rPr>
          <w:rFonts w:ascii="Times New Roman" w:hAnsi="Times New Roman" w:cs="Times New Roman"/>
          <w:sz w:val="24"/>
          <w:szCs w:val="24"/>
        </w:rPr>
        <w:t>PublicAffairs.</w:t>
      </w:r>
    </w:p>
    <w:sectPr w:rsidR="00DD6724" w:rsidRPr="00D917A5" w:rsidSect="00A11451">
      <w:headerReference w:type="default" r:id="rId7"/>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6561C" w14:textId="77777777" w:rsidR="00EC7FB9" w:rsidRPr="007C5E6F" w:rsidRDefault="00EC7FB9">
      <w:pPr>
        <w:spacing w:line="240" w:lineRule="auto"/>
      </w:pPr>
      <w:r w:rsidRPr="007C5E6F">
        <w:separator/>
      </w:r>
    </w:p>
  </w:endnote>
  <w:endnote w:type="continuationSeparator" w:id="0">
    <w:p w14:paraId="104CB1A1" w14:textId="77777777" w:rsidR="00EC7FB9" w:rsidRPr="007C5E6F" w:rsidRDefault="00EC7FB9">
      <w:pPr>
        <w:spacing w:line="240" w:lineRule="auto"/>
      </w:pPr>
      <w:r w:rsidRPr="007C5E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381AACA-D913-4E69-95C2-5CB786BDE143}"/>
  </w:font>
  <w:font w:name="Cambria">
    <w:panose1 w:val="02040503050406030204"/>
    <w:charset w:val="00"/>
    <w:family w:val="roman"/>
    <w:pitch w:val="variable"/>
    <w:sig w:usb0="E00006FF" w:usb1="420024FF" w:usb2="02000000" w:usb3="00000000" w:csb0="0000019F" w:csb1="00000000"/>
    <w:embedRegular r:id="rId2" w:fontKey="{BF87163F-7A17-4638-9F44-828E5D8FFDF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9CB9D" w14:textId="77777777" w:rsidR="00EC7FB9" w:rsidRPr="007C5E6F" w:rsidRDefault="00EC7FB9">
      <w:pPr>
        <w:spacing w:line="240" w:lineRule="auto"/>
      </w:pPr>
      <w:r w:rsidRPr="007C5E6F">
        <w:separator/>
      </w:r>
    </w:p>
  </w:footnote>
  <w:footnote w:type="continuationSeparator" w:id="0">
    <w:p w14:paraId="0F7FA927" w14:textId="77777777" w:rsidR="00EC7FB9" w:rsidRPr="007C5E6F" w:rsidRDefault="00EC7FB9">
      <w:pPr>
        <w:spacing w:line="240" w:lineRule="auto"/>
      </w:pPr>
      <w:r w:rsidRPr="007C5E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259742"/>
      <w:docPartObj>
        <w:docPartGallery w:val="Page Numbers (Top of Page)"/>
        <w:docPartUnique/>
      </w:docPartObj>
    </w:sdtPr>
    <w:sdtContent>
      <w:p w14:paraId="104D763C" w14:textId="7A55079E" w:rsidR="00A11451" w:rsidRDefault="00A11451">
        <w:pPr>
          <w:pStyle w:val="Encabezado"/>
          <w:jc w:val="right"/>
        </w:pPr>
        <w:r>
          <w:fldChar w:fldCharType="begin"/>
        </w:r>
        <w:r>
          <w:instrText>PAGE   \* MERGEFORMAT</w:instrText>
        </w:r>
        <w:r>
          <w:fldChar w:fldCharType="separate"/>
        </w:r>
        <w:r>
          <w:rPr>
            <w:lang w:val="es-ES"/>
          </w:rPr>
          <w:t>2</w:t>
        </w:r>
        <w:r>
          <w:fldChar w:fldCharType="end"/>
        </w:r>
      </w:p>
    </w:sdtContent>
  </w:sdt>
  <w:p w14:paraId="5C3C584A" w14:textId="77777777" w:rsidR="00BB6687" w:rsidRPr="007C5E6F" w:rsidRDefault="00BB6687">
    <w:pPr>
      <w:jc w:val="right"/>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57BB7"/>
    <w:multiLevelType w:val="multilevel"/>
    <w:tmpl w:val="D5189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A4257C"/>
    <w:multiLevelType w:val="multilevel"/>
    <w:tmpl w:val="845648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1A578F2"/>
    <w:multiLevelType w:val="multilevel"/>
    <w:tmpl w:val="6520EC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58562554">
    <w:abstractNumId w:val="1"/>
  </w:num>
  <w:num w:numId="2" w16cid:durableId="1854101055">
    <w:abstractNumId w:val="2"/>
  </w:num>
  <w:num w:numId="3" w16cid:durableId="983315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724"/>
    <w:rsid w:val="0003745D"/>
    <w:rsid w:val="000759BE"/>
    <w:rsid w:val="00082DDD"/>
    <w:rsid w:val="0008355F"/>
    <w:rsid w:val="0008378F"/>
    <w:rsid w:val="000975AD"/>
    <w:rsid w:val="000A4BFF"/>
    <w:rsid w:val="000C1440"/>
    <w:rsid w:val="000C6692"/>
    <w:rsid w:val="000D1C12"/>
    <w:rsid w:val="000D3D53"/>
    <w:rsid w:val="000F350B"/>
    <w:rsid w:val="000F50BB"/>
    <w:rsid w:val="001343A1"/>
    <w:rsid w:val="00135515"/>
    <w:rsid w:val="00145096"/>
    <w:rsid w:val="00166776"/>
    <w:rsid w:val="001974FB"/>
    <w:rsid w:val="001A5B31"/>
    <w:rsid w:val="001B25D0"/>
    <w:rsid w:val="001E1E43"/>
    <w:rsid w:val="001F2FD7"/>
    <w:rsid w:val="0020004D"/>
    <w:rsid w:val="002320E2"/>
    <w:rsid w:val="00251DBF"/>
    <w:rsid w:val="00252649"/>
    <w:rsid w:val="00255949"/>
    <w:rsid w:val="00257193"/>
    <w:rsid w:val="00281707"/>
    <w:rsid w:val="002916AF"/>
    <w:rsid w:val="0029452D"/>
    <w:rsid w:val="002A039C"/>
    <w:rsid w:val="002B7A68"/>
    <w:rsid w:val="00310F46"/>
    <w:rsid w:val="00321518"/>
    <w:rsid w:val="00321733"/>
    <w:rsid w:val="0033013F"/>
    <w:rsid w:val="0033091A"/>
    <w:rsid w:val="00333331"/>
    <w:rsid w:val="003A0B5B"/>
    <w:rsid w:val="003D2F7D"/>
    <w:rsid w:val="003D5B89"/>
    <w:rsid w:val="003E320E"/>
    <w:rsid w:val="003E41E6"/>
    <w:rsid w:val="004057AD"/>
    <w:rsid w:val="00421A0B"/>
    <w:rsid w:val="00425B0E"/>
    <w:rsid w:val="004A7DCC"/>
    <w:rsid w:val="004C1A95"/>
    <w:rsid w:val="004C5DDA"/>
    <w:rsid w:val="004E2DF0"/>
    <w:rsid w:val="004F2C67"/>
    <w:rsid w:val="004F5D0B"/>
    <w:rsid w:val="0050660A"/>
    <w:rsid w:val="00514C57"/>
    <w:rsid w:val="00521E15"/>
    <w:rsid w:val="00521EAB"/>
    <w:rsid w:val="00531E12"/>
    <w:rsid w:val="005325B5"/>
    <w:rsid w:val="00545419"/>
    <w:rsid w:val="00545F67"/>
    <w:rsid w:val="005515FF"/>
    <w:rsid w:val="00554481"/>
    <w:rsid w:val="00565ABD"/>
    <w:rsid w:val="00584209"/>
    <w:rsid w:val="005958C5"/>
    <w:rsid w:val="00597D09"/>
    <w:rsid w:val="005B010B"/>
    <w:rsid w:val="005C3507"/>
    <w:rsid w:val="005D20D8"/>
    <w:rsid w:val="005E277C"/>
    <w:rsid w:val="005E464A"/>
    <w:rsid w:val="005F0A5A"/>
    <w:rsid w:val="00607002"/>
    <w:rsid w:val="00620F04"/>
    <w:rsid w:val="0065549E"/>
    <w:rsid w:val="00693BCD"/>
    <w:rsid w:val="006D19EA"/>
    <w:rsid w:val="006D3DD1"/>
    <w:rsid w:val="006E3A73"/>
    <w:rsid w:val="0072666C"/>
    <w:rsid w:val="007301FE"/>
    <w:rsid w:val="007576EA"/>
    <w:rsid w:val="0078266C"/>
    <w:rsid w:val="007A14F4"/>
    <w:rsid w:val="007B2526"/>
    <w:rsid w:val="007C5E6F"/>
    <w:rsid w:val="007D2333"/>
    <w:rsid w:val="007D7E8B"/>
    <w:rsid w:val="00823783"/>
    <w:rsid w:val="0088034B"/>
    <w:rsid w:val="00883429"/>
    <w:rsid w:val="00884096"/>
    <w:rsid w:val="008A105E"/>
    <w:rsid w:val="008A7117"/>
    <w:rsid w:val="008C538D"/>
    <w:rsid w:val="008E0EFE"/>
    <w:rsid w:val="00900BC0"/>
    <w:rsid w:val="00924386"/>
    <w:rsid w:val="009458EB"/>
    <w:rsid w:val="00970B16"/>
    <w:rsid w:val="009B5BA8"/>
    <w:rsid w:val="009C1214"/>
    <w:rsid w:val="009F7222"/>
    <w:rsid w:val="00A11451"/>
    <w:rsid w:val="00A2053E"/>
    <w:rsid w:val="00A33CC3"/>
    <w:rsid w:val="00A37275"/>
    <w:rsid w:val="00A5361E"/>
    <w:rsid w:val="00A625D7"/>
    <w:rsid w:val="00A67884"/>
    <w:rsid w:val="00A73DD1"/>
    <w:rsid w:val="00A87358"/>
    <w:rsid w:val="00A91DC6"/>
    <w:rsid w:val="00B10790"/>
    <w:rsid w:val="00B1389F"/>
    <w:rsid w:val="00B450CD"/>
    <w:rsid w:val="00B6766A"/>
    <w:rsid w:val="00BB6687"/>
    <w:rsid w:val="00BE3463"/>
    <w:rsid w:val="00BF0350"/>
    <w:rsid w:val="00C23C09"/>
    <w:rsid w:val="00C24A8E"/>
    <w:rsid w:val="00C37761"/>
    <w:rsid w:val="00C42D14"/>
    <w:rsid w:val="00CD63F6"/>
    <w:rsid w:val="00CE0E87"/>
    <w:rsid w:val="00CF2638"/>
    <w:rsid w:val="00D402C0"/>
    <w:rsid w:val="00D42B05"/>
    <w:rsid w:val="00D917A5"/>
    <w:rsid w:val="00DB22A6"/>
    <w:rsid w:val="00DD1D9A"/>
    <w:rsid w:val="00DD3614"/>
    <w:rsid w:val="00DD6724"/>
    <w:rsid w:val="00DD7580"/>
    <w:rsid w:val="00E077EB"/>
    <w:rsid w:val="00E2545A"/>
    <w:rsid w:val="00E46BCD"/>
    <w:rsid w:val="00E5256A"/>
    <w:rsid w:val="00E67C27"/>
    <w:rsid w:val="00E8681C"/>
    <w:rsid w:val="00E921DD"/>
    <w:rsid w:val="00EB7DD7"/>
    <w:rsid w:val="00EC2658"/>
    <w:rsid w:val="00EC71E9"/>
    <w:rsid w:val="00EC7FB9"/>
    <w:rsid w:val="00ED3472"/>
    <w:rsid w:val="00ED3F79"/>
    <w:rsid w:val="00F2226F"/>
    <w:rsid w:val="00F24CEB"/>
    <w:rsid w:val="00F277C7"/>
    <w:rsid w:val="00F42737"/>
    <w:rsid w:val="00F504F5"/>
    <w:rsid w:val="00F508A7"/>
    <w:rsid w:val="00F7725C"/>
    <w:rsid w:val="00FB067A"/>
    <w:rsid w:val="00FB6845"/>
    <w:rsid w:val="00FC1C87"/>
    <w:rsid w:val="00FC29CF"/>
    <w:rsid w:val="00FF6B1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F0E03"/>
  <w15:docId w15:val="{7112DB37-F7ED-431E-A49B-31990D03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Refdecomentario">
    <w:name w:val="annotation reference"/>
    <w:basedOn w:val="Fuentedeprrafopredeter"/>
    <w:uiPriority w:val="99"/>
    <w:semiHidden/>
    <w:unhideWhenUsed/>
    <w:rsid w:val="00883429"/>
    <w:rPr>
      <w:sz w:val="16"/>
      <w:szCs w:val="16"/>
    </w:rPr>
  </w:style>
  <w:style w:type="paragraph" w:styleId="Textocomentario">
    <w:name w:val="annotation text"/>
    <w:basedOn w:val="Normal"/>
    <w:link w:val="TextocomentarioCar"/>
    <w:uiPriority w:val="99"/>
    <w:unhideWhenUsed/>
    <w:rsid w:val="00883429"/>
    <w:pPr>
      <w:spacing w:line="240" w:lineRule="auto"/>
    </w:pPr>
    <w:rPr>
      <w:sz w:val="20"/>
      <w:szCs w:val="20"/>
    </w:rPr>
  </w:style>
  <w:style w:type="character" w:customStyle="1" w:styleId="TextocomentarioCar">
    <w:name w:val="Texto comentario Car"/>
    <w:basedOn w:val="Fuentedeprrafopredeter"/>
    <w:link w:val="Textocomentario"/>
    <w:uiPriority w:val="99"/>
    <w:rsid w:val="00883429"/>
    <w:rPr>
      <w:sz w:val="20"/>
      <w:szCs w:val="20"/>
    </w:rPr>
  </w:style>
  <w:style w:type="paragraph" w:styleId="Asuntodelcomentario">
    <w:name w:val="annotation subject"/>
    <w:basedOn w:val="Textocomentario"/>
    <w:next w:val="Textocomentario"/>
    <w:link w:val="AsuntodelcomentarioCar"/>
    <w:uiPriority w:val="99"/>
    <w:semiHidden/>
    <w:unhideWhenUsed/>
    <w:rsid w:val="00883429"/>
    <w:rPr>
      <w:b/>
      <w:bCs/>
    </w:rPr>
  </w:style>
  <w:style w:type="character" w:customStyle="1" w:styleId="AsuntodelcomentarioCar">
    <w:name w:val="Asunto del comentario Car"/>
    <w:basedOn w:val="TextocomentarioCar"/>
    <w:link w:val="Asuntodelcomentario"/>
    <w:uiPriority w:val="99"/>
    <w:semiHidden/>
    <w:rsid w:val="00883429"/>
    <w:rPr>
      <w:b/>
      <w:bCs/>
      <w:sz w:val="20"/>
      <w:szCs w:val="20"/>
    </w:rPr>
  </w:style>
  <w:style w:type="character" w:styleId="Hipervnculo">
    <w:name w:val="Hyperlink"/>
    <w:basedOn w:val="Fuentedeprrafopredeter"/>
    <w:uiPriority w:val="99"/>
    <w:unhideWhenUsed/>
    <w:rsid w:val="00E077EB"/>
    <w:rPr>
      <w:color w:val="0000FF" w:themeColor="hyperlink"/>
      <w:u w:val="single"/>
    </w:rPr>
  </w:style>
  <w:style w:type="character" w:styleId="Mencinsinresolver">
    <w:name w:val="Unresolved Mention"/>
    <w:basedOn w:val="Fuentedeprrafopredeter"/>
    <w:uiPriority w:val="99"/>
    <w:semiHidden/>
    <w:unhideWhenUsed/>
    <w:rsid w:val="00E077EB"/>
    <w:rPr>
      <w:color w:val="605E5C"/>
      <w:shd w:val="clear" w:color="auto" w:fill="E1DFDD"/>
    </w:rPr>
  </w:style>
  <w:style w:type="paragraph" w:styleId="Encabezado">
    <w:name w:val="header"/>
    <w:basedOn w:val="Normal"/>
    <w:link w:val="EncabezadoCar"/>
    <w:uiPriority w:val="99"/>
    <w:unhideWhenUsed/>
    <w:rsid w:val="00DD758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D7580"/>
    <w:rPr>
      <w:lang w:val="es-CO"/>
    </w:rPr>
  </w:style>
  <w:style w:type="paragraph" w:styleId="Piedepgina">
    <w:name w:val="footer"/>
    <w:basedOn w:val="Normal"/>
    <w:link w:val="PiedepginaCar"/>
    <w:uiPriority w:val="99"/>
    <w:unhideWhenUsed/>
    <w:rsid w:val="00DD758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D7580"/>
    <w:rPr>
      <w:lang w:val="es-CO"/>
    </w:rPr>
  </w:style>
  <w:style w:type="paragraph" w:styleId="NormalWeb">
    <w:name w:val="Normal (Web)"/>
    <w:basedOn w:val="Normal"/>
    <w:uiPriority w:val="99"/>
    <w:unhideWhenUsed/>
    <w:rsid w:val="00310F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0F2D95-794E-4820-841A-F41F9D82F608}">
  <we:reference id="wa200005826" version="1.9.0.0" store="es-ES" storeType="OMEX"/>
  <we:alternateReferences>
    <we:reference id="wa200005826" version="1.9.0.0" store="wa200005826"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3</Pages>
  <Words>20108</Words>
  <Characters>110597</Characters>
  <Application>Microsoft Office Word</Application>
  <DocSecurity>0</DocSecurity>
  <Lines>921</Lines>
  <Paragraphs>260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Tatiana Mejía</dc:creator>
  <cp:lastModifiedBy>Luz Niebles</cp:lastModifiedBy>
  <cp:revision>2</cp:revision>
  <dcterms:created xsi:type="dcterms:W3CDTF">2026-07-27T21:05:00Z</dcterms:created>
  <dcterms:modified xsi:type="dcterms:W3CDTF">2026-07-27T21:05:00Z</dcterms:modified>
</cp:coreProperties>
</file>